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361EDD">
      <w:pPr>
        <w:jc w:val="center"/>
        <w:rPr>
          <w:rFonts w:hint="eastAsia" w:ascii="仿宋" w:hAnsi="仿宋" w:eastAsia="仿宋" w:cs="仿宋"/>
          <w:b/>
          <w:sz w:val="32"/>
          <w:szCs w:val="32"/>
        </w:rPr>
      </w:pPr>
    </w:p>
    <w:p w14:paraId="2FC032DF">
      <w:pPr>
        <w:jc w:val="center"/>
        <w:rPr>
          <w:rFonts w:hint="eastAsia" w:ascii="仿宋" w:hAnsi="仿宋" w:eastAsia="仿宋" w:cs="仿宋"/>
          <w:b/>
          <w:sz w:val="32"/>
          <w:szCs w:val="32"/>
        </w:rPr>
      </w:pPr>
    </w:p>
    <w:p w14:paraId="1B812496">
      <w:pPr>
        <w:jc w:val="center"/>
        <w:rPr>
          <w:rFonts w:hint="eastAsia" w:ascii="仿宋" w:hAnsi="仿宋" w:eastAsia="仿宋" w:cs="仿宋"/>
          <w:b/>
          <w:sz w:val="32"/>
          <w:szCs w:val="32"/>
        </w:rPr>
      </w:pPr>
    </w:p>
    <w:p w14:paraId="41DC6FD7">
      <w:pPr>
        <w:spacing w:line="360" w:lineRule="auto"/>
        <w:jc w:val="center"/>
        <w:rPr>
          <w:rFonts w:hint="eastAsia" w:ascii="仿宋" w:hAnsi="仿宋" w:eastAsia="仿宋" w:cs="仿宋"/>
          <w:b/>
          <w:kern w:val="22"/>
          <w:sz w:val="44"/>
          <w:szCs w:val="44"/>
        </w:rPr>
      </w:pPr>
      <w:r>
        <w:rPr>
          <w:rFonts w:hint="eastAsia" w:ascii="仿宋" w:hAnsi="仿宋" w:eastAsia="仿宋" w:cs="仿宋"/>
          <w:b/>
          <w:kern w:val="22"/>
          <w:sz w:val="44"/>
          <w:szCs w:val="44"/>
        </w:rPr>
        <w:t>山西省地方标准</w:t>
      </w:r>
    </w:p>
    <w:p w14:paraId="46280050">
      <w:pPr>
        <w:spacing w:line="360" w:lineRule="auto"/>
        <w:jc w:val="center"/>
        <w:rPr>
          <w:rFonts w:hint="eastAsia" w:ascii="仿宋" w:hAnsi="仿宋" w:eastAsia="仿宋" w:cs="仿宋"/>
          <w:b/>
          <w:kern w:val="22"/>
          <w:sz w:val="44"/>
          <w:szCs w:val="44"/>
        </w:rPr>
      </w:pPr>
      <w:r>
        <w:rPr>
          <w:rFonts w:hint="eastAsia" w:ascii="仿宋" w:hAnsi="仿宋" w:eastAsia="仿宋" w:cs="仿宋"/>
          <w:b/>
          <w:kern w:val="22"/>
          <w:sz w:val="44"/>
          <w:szCs w:val="44"/>
        </w:rPr>
        <w:t>《草莓脱毒原原种苗制备技术规程》</w:t>
      </w:r>
    </w:p>
    <w:p w14:paraId="015A678A">
      <w:pPr>
        <w:spacing w:line="360" w:lineRule="auto"/>
        <w:jc w:val="center"/>
        <w:rPr>
          <w:rFonts w:hint="eastAsia" w:ascii="仿宋" w:hAnsi="仿宋" w:eastAsia="仿宋" w:cs="仿宋"/>
          <w:b/>
          <w:kern w:val="22"/>
          <w:sz w:val="44"/>
          <w:szCs w:val="44"/>
        </w:rPr>
      </w:pPr>
      <w:r>
        <w:rPr>
          <w:rFonts w:hint="eastAsia" w:ascii="仿宋" w:hAnsi="仿宋" w:eastAsia="仿宋" w:cs="仿宋"/>
          <w:b/>
          <w:kern w:val="22"/>
          <w:sz w:val="44"/>
          <w:szCs w:val="44"/>
        </w:rPr>
        <w:t>编制说明</w:t>
      </w:r>
    </w:p>
    <w:p w14:paraId="383BC291">
      <w:pPr>
        <w:ind w:firstLine="640" w:firstLineChars="200"/>
        <w:rPr>
          <w:rFonts w:hint="eastAsia" w:ascii="仿宋" w:hAnsi="仿宋" w:eastAsia="仿宋" w:cs="仿宋"/>
          <w:b/>
          <w:sz w:val="32"/>
          <w:szCs w:val="32"/>
        </w:rPr>
      </w:pPr>
    </w:p>
    <w:p w14:paraId="7538A509">
      <w:pPr>
        <w:ind w:firstLine="640" w:firstLineChars="200"/>
        <w:rPr>
          <w:rFonts w:hint="eastAsia" w:ascii="仿宋" w:hAnsi="仿宋" w:eastAsia="仿宋" w:cs="仿宋"/>
          <w:b/>
          <w:sz w:val="32"/>
          <w:szCs w:val="32"/>
        </w:rPr>
      </w:pPr>
    </w:p>
    <w:p w14:paraId="22C1CDE6">
      <w:pPr>
        <w:ind w:firstLine="640" w:firstLineChars="200"/>
        <w:rPr>
          <w:rFonts w:hint="eastAsia" w:ascii="仿宋" w:hAnsi="仿宋" w:eastAsia="仿宋" w:cs="仿宋"/>
          <w:b/>
          <w:sz w:val="32"/>
          <w:szCs w:val="32"/>
        </w:rPr>
      </w:pPr>
    </w:p>
    <w:p w14:paraId="0E1B5F00">
      <w:pPr>
        <w:ind w:firstLine="640" w:firstLineChars="200"/>
        <w:rPr>
          <w:rFonts w:hint="eastAsia" w:ascii="仿宋" w:hAnsi="仿宋" w:eastAsia="仿宋" w:cs="仿宋"/>
          <w:b/>
          <w:sz w:val="32"/>
          <w:szCs w:val="32"/>
        </w:rPr>
      </w:pPr>
    </w:p>
    <w:p w14:paraId="13789A16">
      <w:pPr>
        <w:ind w:firstLine="640" w:firstLineChars="200"/>
        <w:rPr>
          <w:rFonts w:hint="eastAsia" w:ascii="仿宋" w:hAnsi="仿宋" w:eastAsia="仿宋" w:cs="仿宋"/>
          <w:b/>
          <w:sz w:val="32"/>
          <w:szCs w:val="32"/>
        </w:rPr>
      </w:pPr>
    </w:p>
    <w:p w14:paraId="72CDA9FE">
      <w:pPr>
        <w:ind w:firstLine="640" w:firstLineChars="200"/>
        <w:rPr>
          <w:rFonts w:hint="eastAsia" w:ascii="仿宋" w:hAnsi="仿宋" w:eastAsia="仿宋" w:cs="仿宋"/>
          <w:b/>
          <w:sz w:val="32"/>
          <w:szCs w:val="32"/>
        </w:rPr>
      </w:pPr>
    </w:p>
    <w:p w14:paraId="128771C8">
      <w:pPr>
        <w:ind w:firstLine="640" w:firstLineChars="200"/>
        <w:rPr>
          <w:rFonts w:hint="eastAsia" w:ascii="仿宋" w:hAnsi="仿宋" w:eastAsia="仿宋" w:cs="仿宋"/>
          <w:b/>
          <w:sz w:val="32"/>
          <w:szCs w:val="32"/>
        </w:rPr>
      </w:pPr>
    </w:p>
    <w:p w14:paraId="17E112A4">
      <w:pPr>
        <w:ind w:firstLine="640" w:firstLineChars="200"/>
        <w:jc w:val="center"/>
        <w:rPr>
          <w:rFonts w:hint="eastAsia" w:ascii="仿宋" w:hAnsi="仿宋" w:eastAsia="仿宋" w:cs="仿宋"/>
          <w:b/>
          <w:sz w:val="32"/>
          <w:szCs w:val="32"/>
        </w:rPr>
      </w:pPr>
    </w:p>
    <w:p w14:paraId="42D6C6CB">
      <w:pPr>
        <w:ind w:firstLine="640" w:firstLineChars="200"/>
        <w:jc w:val="center"/>
        <w:rPr>
          <w:rFonts w:hint="eastAsia" w:ascii="仿宋" w:hAnsi="仿宋" w:eastAsia="仿宋" w:cs="仿宋"/>
          <w:b/>
          <w:sz w:val="32"/>
          <w:szCs w:val="32"/>
        </w:rPr>
      </w:pPr>
    </w:p>
    <w:p w14:paraId="2345AFF2">
      <w:pPr>
        <w:ind w:firstLine="640" w:firstLineChars="200"/>
        <w:jc w:val="center"/>
        <w:rPr>
          <w:rFonts w:hint="eastAsia" w:ascii="仿宋" w:hAnsi="仿宋" w:eastAsia="仿宋" w:cs="仿宋"/>
          <w:b/>
          <w:sz w:val="32"/>
          <w:szCs w:val="32"/>
        </w:rPr>
      </w:pPr>
    </w:p>
    <w:p w14:paraId="36136273">
      <w:pPr>
        <w:ind w:firstLine="640" w:firstLineChars="200"/>
        <w:jc w:val="center"/>
        <w:rPr>
          <w:rFonts w:hint="eastAsia" w:ascii="仿宋" w:hAnsi="仿宋" w:eastAsia="仿宋" w:cs="仿宋"/>
          <w:b/>
          <w:sz w:val="32"/>
          <w:szCs w:val="32"/>
        </w:rPr>
      </w:pPr>
    </w:p>
    <w:p w14:paraId="35D5DEB8">
      <w:pPr>
        <w:spacing w:line="360" w:lineRule="auto"/>
        <w:jc w:val="center"/>
        <w:rPr>
          <w:rFonts w:hint="eastAsia" w:ascii="仿宋" w:hAnsi="仿宋" w:eastAsia="仿宋" w:cs="仿宋"/>
          <w:b/>
          <w:kern w:val="22"/>
          <w:sz w:val="10"/>
          <w:szCs w:val="10"/>
        </w:rPr>
      </w:pPr>
      <w:r>
        <w:rPr>
          <w:rFonts w:hint="eastAsia" w:ascii="仿宋" w:hAnsi="仿宋" w:eastAsia="仿宋" w:cs="仿宋"/>
          <w:b/>
          <w:kern w:val="22"/>
          <w:sz w:val="32"/>
          <w:szCs w:val="32"/>
        </w:rPr>
        <w:t>编制单位：山西农业大学</w:t>
      </w:r>
    </w:p>
    <w:p w14:paraId="101CB1A5">
      <w:pPr>
        <w:jc w:val="center"/>
        <w:rPr>
          <w:rFonts w:hint="eastAsia" w:ascii="仿宋" w:hAnsi="仿宋" w:eastAsia="仿宋" w:cs="仿宋"/>
          <w:b/>
          <w:sz w:val="32"/>
          <w:szCs w:val="32"/>
        </w:rPr>
      </w:pPr>
      <w:r>
        <w:rPr>
          <w:rFonts w:hint="eastAsia" w:ascii="仿宋" w:hAnsi="仿宋" w:eastAsia="仿宋" w:cs="仿宋"/>
          <w:b/>
          <w:sz w:val="32"/>
          <w:szCs w:val="32"/>
        </w:rPr>
        <w:t>二〇二四年一月</w:t>
      </w:r>
    </w:p>
    <w:p w14:paraId="7A66A0C4">
      <w:pPr>
        <w:jc w:val="center"/>
        <w:rPr>
          <w:rFonts w:hint="eastAsia" w:ascii="仿宋" w:hAnsi="仿宋" w:eastAsia="仿宋" w:cs="仿宋"/>
          <w:b/>
          <w:sz w:val="30"/>
          <w:szCs w:val="30"/>
        </w:rPr>
      </w:pPr>
      <w:r>
        <w:rPr>
          <w:rFonts w:hint="eastAsia" w:ascii="仿宋" w:hAnsi="仿宋" w:eastAsia="仿宋" w:cs="仿宋"/>
          <w:sz w:val="32"/>
          <w:szCs w:val="32"/>
        </w:rPr>
        <w:br w:type="page"/>
      </w:r>
      <w:r>
        <w:rPr>
          <w:rFonts w:hint="eastAsia" w:ascii="仿宋" w:hAnsi="仿宋" w:eastAsia="仿宋" w:cs="仿宋"/>
          <w:b/>
          <w:sz w:val="30"/>
          <w:szCs w:val="30"/>
        </w:rPr>
        <w:t>山西省地方标准</w:t>
      </w:r>
    </w:p>
    <w:p w14:paraId="49362D7B">
      <w:pPr>
        <w:spacing w:line="520" w:lineRule="exact"/>
        <w:jc w:val="center"/>
        <w:rPr>
          <w:rFonts w:hint="eastAsia" w:ascii="仿宋" w:hAnsi="仿宋" w:eastAsia="仿宋" w:cs="仿宋"/>
          <w:b/>
          <w:sz w:val="30"/>
          <w:szCs w:val="30"/>
        </w:rPr>
      </w:pPr>
      <w:r>
        <w:rPr>
          <w:rFonts w:hint="eastAsia" w:ascii="仿宋" w:hAnsi="仿宋" w:eastAsia="仿宋" w:cs="仿宋"/>
          <w:b/>
          <w:sz w:val="30"/>
          <w:szCs w:val="30"/>
        </w:rPr>
        <w:t>《草莓脱毒原原种苗制备技术规程》</w:t>
      </w:r>
    </w:p>
    <w:p w14:paraId="04ED7115">
      <w:pPr>
        <w:spacing w:line="520" w:lineRule="exact"/>
        <w:jc w:val="center"/>
        <w:rPr>
          <w:rFonts w:hint="eastAsia" w:ascii="仿宋" w:hAnsi="仿宋" w:eastAsia="仿宋" w:cs="仿宋"/>
          <w:b/>
          <w:sz w:val="30"/>
          <w:szCs w:val="30"/>
        </w:rPr>
      </w:pPr>
      <w:r>
        <w:rPr>
          <w:rFonts w:hint="eastAsia" w:ascii="仿宋" w:hAnsi="仿宋" w:eastAsia="仿宋" w:cs="仿宋"/>
          <w:b/>
          <w:sz w:val="30"/>
          <w:szCs w:val="30"/>
        </w:rPr>
        <w:t>编制说明</w:t>
      </w:r>
    </w:p>
    <w:p w14:paraId="579C41F9">
      <w:pPr>
        <w:spacing w:line="540" w:lineRule="exact"/>
        <w:ind w:firstLine="480" w:firstLineChars="200"/>
        <w:rPr>
          <w:rFonts w:hint="eastAsia" w:ascii="仿宋" w:hAnsi="仿宋" w:eastAsia="仿宋" w:cs="仿宋"/>
          <w:b/>
          <w:snapToGrid w:val="0"/>
          <w:color w:val="000000"/>
          <w:kern w:val="0"/>
          <w:sz w:val="24"/>
          <w:szCs w:val="24"/>
        </w:rPr>
      </w:pPr>
      <w:r>
        <w:rPr>
          <w:rFonts w:hint="eastAsia" w:ascii="仿宋" w:hAnsi="仿宋" w:eastAsia="仿宋" w:cs="仿宋"/>
          <w:b/>
          <w:snapToGrid w:val="0"/>
          <w:color w:val="000000"/>
          <w:kern w:val="0"/>
          <w:sz w:val="24"/>
          <w:szCs w:val="24"/>
          <w:lang w:val="en-US" w:eastAsia="zh-CN"/>
        </w:rPr>
        <w:t>一、</w:t>
      </w:r>
      <w:r>
        <w:rPr>
          <w:rFonts w:hint="eastAsia" w:ascii="仿宋" w:hAnsi="仿宋" w:eastAsia="仿宋" w:cs="仿宋"/>
          <w:b/>
          <w:snapToGrid w:val="0"/>
          <w:color w:val="000000"/>
          <w:kern w:val="0"/>
          <w:sz w:val="24"/>
          <w:szCs w:val="24"/>
        </w:rPr>
        <w:t>工作简况</w:t>
      </w:r>
    </w:p>
    <w:p w14:paraId="53226F50">
      <w:pPr>
        <w:spacing w:line="360" w:lineRule="auto"/>
        <w:ind w:left="465"/>
        <w:outlineLvl w:val="1"/>
        <w:rPr>
          <w:rFonts w:hint="eastAsia" w:ascii="仿宋" w:hAnsi="仿宋" w:eastAsia="仿宋" w:cs="仿宋"/>
          <w:sz w:val="24"/>
        </w:rPr>
      </w:pPr>
      <w:r>
        <w:rPr>
          <w:rFonts w:hint="eastAsia" w:ascii="仿宋" w:hAnsi="仿宋" w:eastAsia="仿宋" w:cs="仿宋"/>
          <w:sz w:val="24"/>
        </w:rPr>
        <w:t>1任务来源</w:t>
      </w:r>
    </w:p>
    <w:p w14:paraId="11705591">
      <w:pPr>
        <w:spacing w:line="360" w:lineRule="auto"/>
        <w:ind w:firstLine="480" w:firstLineChars="200"/>
        <w:rPr>
          <w:rFonts w:hint="eastAsia" w:ascii="仿宋" w:hAnsi="仿宋" w:eastAsia="仿宋" w:cs="仿宋"/>
          <w:sz w:val="24"/>
        </w:rPr>
      </w:pPr>
      <w:r>
        <w:rPr>
          <w:rFonts w:hint="eastAsia" w:ascii="仿宋" w:hAnsi="仿宋" w:eastAsia="仿宋" w:cs="仿宋"/>
          <w:sz w:val="24"/>
        </w:rPr>
        <w:t>按照山西省市场监督管理局关于2022年度省级地方标准复审结论公告（山西省地方标准公告2022年第20号），《草莓脱毒原原种苗制备技术规程》DB14T1591-2018被列入山西省地方标准修订计划，本标准由山西省农业标准化技术委员会（SXS/TC19）归口。</w:t>
      </w:r>
    </w:p>
    <w:p w14:paraId="53C596BD">
      <w:pPr>
        <w:spacing w:line="360" w:lineRule="auto"/>
        <w:ind w:left="465"/>
        <w:outlineLvl w:val="1"/>
        <w:rPr>
          <w:rFonts w:hint="eastAsia" w:ascii="仿宋" w:hAnsi="仿宋" w:eastAsia="仿宋" w:cs="仿宋"/>
          <w:sz w:val="24"/>
        </w:rPr>
      </w:pPr>
      <w:r>
        <w:rPr>
          <w:rFonts w:hint="eastAsia" w:ascii="仿宋" w:hAnsi="仿宋" w:eastAsia="仿宋" w:cs="仿宋"/>
          <w:sz w:val="24"/>
        </w:rPr>
        <w:t>2起草单位和主要起草人</w:t>
      </w:r>
    </w:p>
    <w:p w14:paraId="5F36EA44">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本</w:t>
      </w:r>
      <w:r>
        <w:rPr>
          <w:rFonts w:hint="eastAsia" w:ascii="仿宋" w:hAnsi="仿宋" w:eastAsia="仿宋" w:cs="仿宋"/>
          <w:sz w:val="24"/>
        </w:rPr>
        <w:t>标准</w:t>
      </w:r>
      <w:r>
        <w:rPr>
          <w:rFonts w:hint="eastAsia" w:ascii="仿宋" w:hAnsi="仿宋" w:eastAsia="仿宋" w:cs="仿宋"/>
          <w:sz w:val="24"/>
          <w:lang w:val="en-US" w:eastAsia="zh-CN"/>
        </w:rPr>
        <w:t>修</w:t>
      </w:r>
      <w:r>
        <w:rPr>
          <w:rFonts w:hint="eastAsia" w:ascii="仿宋" w:hAnsi="仿宋" w:eastAsia="仿宋" w:cs="仿宋"/>
          <w:sz w:val="24"/>
        </w:rPr>
        <w:t>定过程主要由</w:t>
      </w:r>
      <w:r>
        <w:rPr>
          <w:rFonts w:hint="eastAsia" w:ascii="仿宋" w:hAnsi="仿宋" w:eastAsia="仿宋" w:cs="仿宋"/>
          <w:sz w:val="24"/>
          <w:lang w:val="en-US" w:eastAsia="zh-CN"/>
        </w:rPr>
        <w:t>山西农业大学果树研究所及园艺学院</w:t>
      </w:r>
      <w:r>
        <w:rPr>
          <w:rFonts w:hint="eastAsia" w:ascii="仿宋" w:hAnsi="仿宋" w:eastAsia="仿宋" w:cs="仿宋"/>
          <w:sz w:val="24"/>
        </w:rPr>
        <w:t>等单位的人员参与资料收集、文本</w:t>
      </w:r>
      <w:r>
        <w:rPr>
          <w:rFonts w:hint="eastAsia" w:ascii="仿宋" w:hAnsi="仿宋" w:eastAsia="仿宋" w:cs="仿宋"/>
          <w:sz w:val="24"/>
          <w:lang w:val="en-US" w:eastAsia="zh-CN"/>
        </w:rPr>
        <w:t>修订起草</w:t>
      </w:r>
      <w:r>
        <w:rPr>
          <w:rFonts w:hint="eastAsia" w:ascii="仿宋" w:hAnsi="仿宋" w:eastAsia="仿宋" w:cs="仿宋"/>
          <w:sz w:val="24"/>
        </w:rPr>
        <w:t>、</w:t>
      </w:r>
      <w:r>
        <w:rPr>
          <w:rFonts w:hint="eastAsia" w:ascii="仿宋" w:hAnsi="仿宋" w:eastAsia="仿宋" w:cs="仿宋"/>
          <w:sz w:val="24"/>
          <w:lang w:val="en-US" w:eastAsia="zh-CN"/>
        </w:rPr>
        <w:t>宣贯实施</w:t>
      </w:r>
      <w:r>
        <w:rPr>
          <w:rFonts w:hint="eastAsia" w:ascii="仿宋" w:hAnsi="仿宋" w:eastAsia="仿宋" w:cs="仿宋"/>
          <w:sz w:val="24"/>
        </w:rPr>
        <w:t>等工作。</w:t>
      </w:r>
      <w:r>
        <w:rPr>
          <w:rFonts w:hint="eastAsia" w:ascii="仿宋" w:hAnsi="仿宋" w:eastAsia="仿宋" w:cs="仿宋"/>
          <w:sz w:val="24"/>
          <w:lang w:val="en-US" w:eastAsia="zh-CN"/>
        </w:rPr>
        <w:t>主要起草人员及任务分工由下表所示：</w:t>
      </w:r>
    </w:p>
    <w:p w14:paraId="7427A528">
      <w:pPr>
        <w:spacing w:line="360" w:lineRule="auto"/>
        <w:jc w:val="center"/>
        <w:rPr>
          <w:rFonts w:hint="eastAsia"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表1. 主要起草人员信息及任务分工</w:t>
      </w:r>
    </w:p>
    <w:tbl>
      <w:tblPr>
        <w:tblStyle w:val="14"/>
        <w:tblW w:w="8304"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3"/>
        <w:gridCol w:w="2638"/>
        <w:gridCol w:w="1583"/>
        <w:gridCol w:w="3180"/>
      </w:tblGrid>
      <w:tr w14:paraId="799E7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3" w:type="dxa"/>
            <w:noWrap w:val="0"/>
            <w:vAlign w:val="center"/>
          </w:tcPr>
          <w:p w14:paraId="289507B9">
            <w:pPr>
              <w:spacing w:line="240" w:lineRule="atLeast"/>
              <w:jc w:val="center"/>
              <w:rPr>
                <w:rFonts w:hint="eastAsia" w:ascii="仿宋" w:hAnsi="仿宋" w:eastAsia="仿宋" w:cs="仿宋"/>
                <w:b/>
                <w:bCs/>
                <w:sz w:val="21"/>
                <w:szCs w:val="21"/>
              </w:rPr>
            </w:pPr>
            <w:r>
              <w:rPr>
                <w:rFonts w:hint="eastAsia" w:ascii="仿宋" w:hAnsi="仿宋" w:eastAsia="仿宋" w:cs="仿宋"/>
                <w:b/>
                <w:bCs/>
                <w:sz w:val="21"/>
                <w:szCs w:val="21"/>
              </w:rPr>
              <w:t>姓名</w:t>
            </w:r>
          </w:p>
        </w:tc>
        <w:tc>
          <w:tcPr>
            <w:tcW w:w="2638" w:type="dxa"/>
            <w:noWrap w:val="0"/>
            <w:vAlign w:val="center"/>
          </w:tcPr>
          <w:p w14:paraId="068C9C23">
            <w:pPr>
              <w:spacing w:line="240" w:lineRule="atLeast"/>
              <w:jc w:val="center"/>
              <w:rPr>
                <w:rFonts w:hint="eastAsia" w:ascii="仿宋" w:hAnsi="仿宋" w:eastAsia="仿宋" w:cs="仿宋"/>
                <w:b/>
                <w:bCs/>
                <w:sz w:val="21"/>
                <w:szCs w:val="21"/>
              </w:rPr>
            </w:pPr>
            <w:r>
              <w:rPr>
                <w:rFonts w:hint="eastAsia" w:ascii="仿宋" w:hAnsi="仿宋" w:eastAsia="仿宋" w:cs="仿宋"/>
                <w:b/>
                <w:bCs/>
                <w:sz w:val="21"/>
                <w:szCs w:val="21"/>
              </w:rPr>
              <w:t>单位</w:t>
            </w:r>
          </w:p>
        </w:tc>
        <w:tc>
          <w:tcPr>
            <w:tcW w:w="1583" w:type="dxa"/>
            <w:noWrap w:val="0"/>
            <w:vAlign w:val="center"/>
          </w:tcPr>
          <w:p w14:paraId="0C5E886A">
            <w:pPr>
              <w:spacing w:line="240" w:lineRule="atLeast"/>
              <w:jc w:val="center"/>
              <w:rPr>
                <w:rFonts w:hint="eastAsia" w:ascii="仿宋" w:hAnsi="仿宋" w:eastAsia="仿宋" w:cs="仿宋"/>
                <w:b/>
                <w:bCs/>
                <w:sz w:val="21"/>
                <w:szCs w:val="21"/>
              </w:rPr>
            </w:pPr>
            <w:r>
              <w:rPr>
                <w:rFonts w:hint="eastAsia" w:ascii="仿宋" w:hAnsi="仿宋" w:eastAsia="仿宋" w:cs="仿宋"/>
                <w:b/>
                <w:bCs/>
                <w:sz w:val="21"/>
                <w:szCs w:val="21"/>
              </w:rPr>
              <w:t>职称</w:t>
            </w:r>
          </w:p>
        </w:tc>
        <w:tc>
          <w:tcPr>
            <w:tcW w:w="3180" w:type="dxa"/>
            <w:noWrap w:val="0"/>
            <w:vAlign w:val="center"/>
          </w:tcPr>
          <w:p w14:paraId="79F02C0E">
            <w:pPr>
              <w:spacing w:line="240" w:lineRule="atLeast"/>
              <w:jc w:val="center"/>
              <w:rPr>
                <w:rFonts w:hint="eastAsia" w:ascii="仿宋" w:hAnsi="仿宋" w:eastAsia="仿宋" w:cs="仿宋"/>
                <w:b/>
                <w:bCs/>
                <w:sz w:val="21"/>
                <w:szCs w:val="21"/>
              </w:rPr>
            </w:pPr>
            <w:r>
              <w:rPr>
                <w:rFonts w:hint="eastAsia" w:ascii="仿宋" w:hAnsi="仿宋" w:eastAsia="仿宋" w:cs="仿宋"/>
                <w:b/>
                <w:bCs/>
                <w:sz w:val="21"/>
                <w:szCs w:val="21"/>
              </w:rPr>
              <w:t>专业特长及分工</w:t>
            </w:r>
          </w:p>
        </w:tc>
      </w:tr>
      <w:tr w14:paraId="477AE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3" w:type="dxa"/>
            <w:noWrap w:val="0"/>
            <w:vAlign w:val="center"/>
          </w:tcPr>
          <w:p w14:paraId="382DB6DA">
            <w:pPr>
              <w:spacing w:line="240" w:lineRule="atLeast"/>
              <w:jc w:val="center"/>
              <w:rPr>
                <w:rFonts w:hint="eastAsia" w:ascii="仿宋" w:hAnsi="仿宋" w:eastAsia="仿宋" w:cs="仿宋"/>
                <w:sz w:val="21"/>
                <w:szCs w:val="21"/>
              </w:rPr>
            </w:pPr>
            <w:r>
              <w:rPr>
                <w:rFonts w:hint="eastAsia" w:ascii="仿宋" w:hAnsi="仿宋" w:eastAsia="仿宋" w:cs="仿宋"/>
                <w:b w:val="0"/>
                <w:color w:val="000000"/>
                <w:sz w:val="21"/>
                <w:szCs w:val="21"/>
              </w:rPr>
              <w:t>刘伟</w:t>
            </w:r>
          </w:p>
        </w:tc>
        <w:tc>
          <w:tcPr>
            <w:tcW w:w="2638" w:type="dxa"/>
            <w:noWrap w:val="0"/>
            <w:vAlign w:val="center"/>
          </w:tcPr>
          <w:p w14:paraId="718F2FFB">
            <w:pPr>
              <w:spacing w:line="240" w:lineRule="atLeas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山西农业大学果树研究所</w:t>
            </w:r>
          </w:p>
        </w:tc>
        <w:tc>
          <w:tcPr>
            <w:tcW w:w="1583" w:type="dxa"/>
            <w:noWrap w:val="0"/>
            <w:vAlign w:val="center"/>
          </w:tcPr>
          <w:p w14:paraId="19C36B84">
            <w:pPr>
              <w:spacing w:line="240" w:lineRule="atLeas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助理研究员</w:t>
            </w:r>
          </w:p>
        </w:tc>
        <w:tc>
          <w:tcPr>
            <w:tcW w:w="3180" w:type="dxa"/>
            <w:noWrap w:val="0"/>
            <w:vAlign w:val="center"/>
          </w:tcPr>
          <w:p w14:paraId="10454C7B">
            <w:pPr>
              <w:spacing w:line="240" w:lineRule="atLeast"/>
              <w:jc w:val="center"/>
              <w:rPr>
                <w:rFonts w:hint="eastAsia" w:ascii="仿宋" w:hAnsi="仿宋" w:eastAsia="仿宋" w:cs="仿宋"/>
                <w:sz w:val="21"/>
                <w:szCs w:val="21"/>
              </w:rPr>
            </w:pPr>
            <w:r>
              <w:rPr>
                <w:rFonts w:hint="eastAsia" w:ascii="仿宋" w:hAnsi="仿宋" w:eastAsia="仿宋" w:cs="仿宋"/>
                <w:sz w:val="21"/>
                <w:szCs w:val="21"/>
                <w:lang w:val="en-US" w:eastAsia="zh-CN"/>
              </w:rPr>
              <w:t>侧重植物病毒学，负责标准的总体</w:t>
            </w:r>
            <w:r>
              <w:rPr>
                <w:rFonts w:hint="eastAsia" w:ascii="仿宋" w:hAnsi="仿宋" w:eastAsia="仿宋" w:cs="仿宋"/>
                <w:sz w:val="21"/>
                <w:szCs w:val="21"/>
              </w:rPr>
              <w:t>起草、修订、宣贯实施</w:t>
            </w:r>
            <w:r>
              <w:rPr>
                <w:rFonts w:hint="eastAsia" w:ascii="仿宋" w:hAnsi="仿宋" w:eastAsia="仿宋" w:cs="仿宋"/>
                <w:sz w:val="21"/>
                <w:szCs w:val="21"/>
                <w:lang w:val="en-US" w:eastAsia="zh-CN"/>
              </w:rPr>
              <w:t>。</w:t>
            </w:r>
          </w:p>
        </w:tc>
      </w:tr>
      <w:tr w14:paraId="1E8AB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3" w:type="dxa"/>
            <w:noWrap w:val="0"/>
            <w:vAlign w:val="center"/>
          </w:tcPr>
          <w:p w14:paraId="77210E45">
            <w:pPr>
              <w:spacing w:line="240" w:lineRule="atLeast"/>
              <w:jc w:val="center"/>
              <w:rPr>
                <w:rFonts w:hint="eastAsia" w:ascii="仿宋" w:hAnsi="仿宋" w:eastAsia="仿宋" w:cs="仿宋"/>
                <w:sz w:val="21"/>
                <w:szCs w:val="21"/>
              </w:rPr>
            </w:pPr>
            <w:r>
              <w:rPr>
                <w:rFonts w:hint="eastAsia" w:ascii="仿宋" w:hAnsi="仿宋" w:eastAsia="仿宋" w:cs="仿宋"/>
                <w:b w:val="0"/>
                <w:color w:val="000000"/>
                <w:sz w:val="21"/>
                <w:szCs w:val="21"/>
              </w:rPr>
              <w:t>樊新萍</w:t>
            </w:r>
          </w:p>
        </w:tc>
        <w:tc>
          <w:tcPr>
            <w:tcW w:w="2638" w:type="dxa"/>
            <w:noWrap w:val="0"/>
            <w:vAlign w:val="center"/>
          </w:tcPr>
          <w:p w14:paraId="146F28C3">
            <w:pPr>
              <w:spacing w:line="240" w:lineRule="atLeast"/>
              <w:jc w:val="center"/>
              <w:rPr>
                <w:rFonts w:hint="eastAsia" w:ascii="仿宋" w:hAnsi="仿宋" w:eastAsia="仿宋" w:cs="仿宋"/>
                <w:sz w:val="21"/>
                <w:szCs w:val="21"/>
              </w:rPr>
            </w:pPr>
            <w:r>
              <w:rPr>
                <w:rFonts w:hint="eastAsia" w:ascii="仿宋" w:hAnsi="仿宋" w:eastAsia="仿宋" w:cs="仿宋"/>
                <w:sz w:val="21"/>
                <w:szCs w:val="21"/>
                <w:lang w:val="en-US" w:eastAsia="zh-CN"/>
              </w:rPr>
              <w:t>山西农业大学果树研究所</w:t>
            </w:r>
          </w:p>
        </w:tc>
        <w:tc>
          <w:tcPr>
            <w:tcW w:w="1583" w:type="dxa"/>
            <w:noWrap w:val="0"/>
            <w:vAlign w:val="center"/>
          </w:tcPr>
          <w:p w14:paraId="2758CF5B">
            <w:pPr>
              <w:spacing w:line="240" w:lineRule="atLeas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研究员</w:t>
            </w:r>
          </w:p>
        </w:tc>
        <w:tc>
          <w:tcPr>
            <w:tcW w:w="3180" w:type="dxa"/>
            <w:noWrap w:val="0"/>
            <w:vAlign w:val="center"/>
          </w:tcPr>
          <w:p w14:paraId="6EEA9E81">
            <w:pPr>
              <w:spacing w:line="240" w:lineRule="atLeas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侧重</w:t>
            </w:r>
            <w:r>
              <w:rPr>
                <w:rFonts w:hint="eastAsia" w:ascii="仿宋" w:hAnsi="仿宋" w:eastAsia="仿宋" w:cs="仿宋"/>
                <w:sz w:val="21"/>
                <w:szCs w:val="21"/>
              </w:rPr>
              <w:t>草莓</w:t>
            </w:r>
            <w:r>
              <w:rPr>
                <w:rFonts w:hint="eastAsia" w:ascii="仿宋" w:hAnsi="仿宋" w:eastAsia="仿宋" w:cs="仿宋"/>
                <w:sz w:val="21"/>
                <w:szCs w:val="21"/>
                <w:lang w:val="en-US" w:eastAsia="zh-CN"/>
              </w:rPr>
              <w:t>栽培</w:t>
            </w:r>
            <w:r>
              <w:rPr>
                <w:rFonts w:hint="eastAsia" w:ascii="仿宋" w:hAnsi="仿宋" w:eastAsia="仿宋" w:cs="仿宋"/>
                <w:sz w:val="21"/>
                <w:szCs w:val="21"/>
              </w:rPr>
              <w:t>育种，负责</w:t>
            </w:r>
            <w:r>
              <w:rPr>
                <w:rFonts w:hint="eastAsia" w:ascii="仿宋" w:hAnsi="仿宋" w:eastAsia="仿宋" w:cs="仿宋"/>
                <w:sz w:val="21"/>
                <w:szCs w:val="21"/>
                <w:lang w:val="en-US" w:eastAsia="zh-CN"/>
              </w:rPr>
              <w:t>标准</w:t>
            </w:r>
            <w:r>
              <w:rPr>
                <w:rFonts w:hint="eastAsia" w:ascii="仿宋" w:hAnsi="仿宋" w:eastAsia="仿宋" w:cs="仿宋"/>
                <w:sz w:val="21"/>
                <w:szCs w:val="21"/>
              </w:rPr>
              <w:t>整体框架的设计和起草。</w:t>
            </w:r>
          </w:p>
        </w:tc>
      </w:tr>
      <w:tr w14:paraId="42F9B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3" w:type="dxa"/>
            <w:noWrap w:val="0"/>
            <w:vAlign w:val="center"/>
          </w:tcPr>
          <w:p w14:paraId="0EF3B1AF">
            <w:pPr>
              <w:spacing w:line="240" w:lineRule="atLeast"/>
              <w:jc w:val="center"/>
              <w:rPr>
                <w:rFonts w:hint="eastAsia" w:ascii="仿宋" w:hAnsi="仿宋" w:eastAsia="仿宋" w:cs="仿宋"/>
                <w:sz w:val="21"/>
                <w:szCs w:val="21"/>
              </w:rPr>
            </w:pPr>
            <w:r>
              <w:rPr>
                <w:rFonts w:hint="eastAsia" w:ascii="仿宋" w:hAnsi="仿宋" w:eastAsia="仿宋" w:cs="仿宋"/>
                <w:b w:val="0"/>
                <w:color w:val="000000"/>
                <w:sz w:val="21"/>
                <w:szCs w:val="21"/>
              </w:rPr>
              <w:t>王国平</w:t>
            </w:r>
          </w:p>
        </w:tc>
        <w:tc>
          <w:tcPr>
            <w:tcW w:w="2638" w:type="dxa"/>
            <w:noWrap w:val="0"/>
            <w:vAlign w:val="center"/>
          </w:tcPr>
          <w:p w14:paraId="2ADD89DE">
            <w:pPr>
              <w:spacing w:line="240" w:lineRule="atLeast"/>
              <w:jc w:val="center"/>
              <w:rPr>
                <w:rFonts w:hint="eastAsia" w:ascii="仿宋" w:hAnsi="仿宋" w:eastAsia="仿宋" w:cs="仿宋"/>
                <w:sz w:val="21"/>
                <w:szCs w:val="21"/>
              </w:rPr>
            </w:pPr>
            <w:r>
              <w:rPr>
                <w:rFonts w:hint="eastAsia" w:ascii="仿宋" w:hAnsi="仿宋" w:eastAsia="仿宋" w:cs="仿宋"/>
                <w:sz w:val="21"/>
                <w:szCs w:val="21"/>
                <w:lang w:val="en-US" w:eastAsia="zh-CN"/>
              </w:rPr>
              <w:t>山西农业大学果树研究所</w:t>
            </w:r>
          </w:p>
        </w:tc>
        <w:tc>
          <w:tcPr>
            <w:tcW w:w="1583" w:type="dxa"/>
            <w:noWrap w:val="0"/>
            <w:vAlign w:val="center"/>
          </w:tcPr>
          <w:p w14:paraId="1F31C031">
            <w:pPr>
              <w:spacing w:line="240" w:lineRule="atLeas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副研究员</w:t>
            </w:r>
          </w:p>
        </w:tc>
        <w:tc>
          <w:tcPr>
            <w:tcW w:w="3180" w:type="dxa"/>
            <w:noWrap w:val="0"/>
            <w:vAlign w:val="center"/>
          </w:tcPr>
          <w:p w14:paraId="1A568731">
            <w:pPr>
              <w:spacing w:line="240" w:lineRule="atLeast"/>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侧重</w:t>
            </w:r>
            <w:r>
              <w:rPr>
                <w:rFonts w:hint="eastAsia" w:ascii="仿宋" w:hAnsi="仿宋" w:eastAsia="仿宋" w:cs="仿宋"/>
                <w:sz w:val="21"/>
                <w:szCs w:val="21"/>
              </w:rPr>
              <w:t>植物组织培养，负责原原种苗的培养</w:t>
            </w:r>
            <w:r>
              <w:rPr>
                <w:rFonts w:hint="eastAsia" w:ascii="仿宋" w:hAnsi="仿宋" w:eastAsia="仿宋" w:cs="仿宋"/>
                <w:sz w:val="21"/>
                <w:szCs w:val="21"/>
                <w:lang w:val="en-US" w:eastAsia="zh-CN"/>
              </w:rPr>
              <w:t>相关内容的起草</w:t>
            </w:r>
            <w:r>
              <w:rPr>
                <w:rFonts w:hint="eastAsia" w:ascii="仿宋" w:hAnsi="仿宋" w:eastAsia="仿宋" w:cs="仿宋"/>
                <w:sz w:val="21"/>
                <w:szCs w:val="21"/>
              </w:rPr>
              <w:t>。</w:t>
            </w:r>
          </w:p>
        </w:tc>
      </w:tr>
      <w:tr w14:paraId="1D0EE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3" w:type="dxa"/>
            <w:noWrap w:val="0"/>
            <w:vAlign w:val="center"/>
          </w:tcPr>
          <w:p w14:paraId="246A6A11">
            <w:pPr>
              <w:spacing w:line="240" w:lineRule="atLeast"/>
              <w:jc w:val="center"/>
              <w:rPr>
                <w:rFonts w:hint="eastAsia" w:ascii="仿宋" w:hAnsi="仿宋" w:eastAsia="仿宋" w:cs="仿宋"/>
                <w:sz w:val="21"/>
                <w:szCs w:val="21"/>
              </w:rPr>
            </w:pPr>
            <w:r>
              <w:rPr>
                <w:rFonts w:hint="eastAsia" w:ascii="仿宋" w:hAnsi="仿宋" w:eastAsia="仿宋" w:cs="仿宋"/>
                <w:b w:val="0"/>
                <w:color w:val="000000"/>
                <w:sz w:val="21"/>
                <w:szCs w:val="21"/>
              </w:rPr>
              <w:t>郭华</w:t>
            </w:r>
          </w:p>
        </w:tc>
        <w:tc>
          <w:tcPr>
            <w:tcW w:w="2638" w:type="dxa"/>
            <w:noWrap w:val="0"/>
            <w:vAlign w:val="center"/>
          </w:tcPr>
          <w:p w14:paraId="4D2035C3">
            <w:pPr>
              <w:spacing w:line="240" w:lineRule="atLeast"/>
              <w:jc w:val="center"/>
              <w:rPr>
                <w:rFonts w:hint="eastAsia" w:ascii="仿宋" w:hAnsi="仿宋" w:eastAsia="仿宋" w:cs="仿宋"/>
                <w:sz w:val="21"/>
                <w:szCs w:val="21"/>
              </w:rPr>
            </w:pPr>
            <w:r>
              <w:rPr>
                <w:rFonts w:hint="eastAsia" w:ascii="仿宋" w:hAnsi="仿宋" w:eastAsia="仿宋" w:cs="仿宋"/>
                <w:sz w:val="21"/>
                <w:szCs w:val="21"/>
                <w:lang w:val="en-US" w:eastAsia="zh-CN"/>
              </w:rPr>
              <w:t>山西农业大学果树研究所</w:t>
            </w:r>
          </w:p>
        </w:tc>
        <w:tc>
          <w:tcPr>
            <w:tcW w:w="1583" w:type="dxa"/>
            <w:noWrap w:val="0"/>
            <w:vAlign w:val="center"/>
          </w:tcPr>
          <w:p w14:paraId="5A2B99BF">
            <w:pPr>
              <w:spacing w:line="240" w:lineRule="atLeast"/>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助理研究员</w:t>
            </w:r>
          </w:p>
        </w:tc>
        <w:tc>
          <w:tcPr>
            <w:tcW w:w="3180" w:type="dxa"/>
            <w:noWrap w:val="0"/>
            <w:vAlign w:val="center"/>
          </w:tcPr>
          <w:p w14:paraId="03CEDC9D">
            <w:pPr>
              <w:spacing w:line="240" w:lineRule="atLeast"/>
              <w:jc w:val="center"/>
              <w:rPr>
                <w:rFonts w:hint="eastAsia" w:ascii="仿宋" w:hAnsi="仿宋" w:eastAsia="仿宋" w:cs="仿宋"/>
                <w:sz w:val="21"/>
                <w:szCs w:val="21"/>
              </w:rPr>
            </w:pPr>
            <w:r>
              <w:rPr>
                <w:rFonts w:hint="eastAsia" w:ascii="仿宋" w:hAnsi="仿宋" w:eastAsia="仿宋" w:cs="仿宋"/>
                <w:sz w:val="21"/>
                <w:szCs w:val="21"/>
                <w:lang w:val="en-US" w:eastAsia="zh-CN"/>
              </w:rPr>
              <w:t>侧重</w:t>
            </w:r>
            <w:r>
              <w:rPr>
                <w:rFonts w:hint="eastAsia" w:ascii="仿宋" w:hAnsi="仿宋" w:eastAsia="仿宋" w:cs="仿宋"/>
                <w:sz w:val="21"/>
                <w:szCs w:val="21"/>
              </w:rPr>
              <w:t>农业经济学，负责</w:t>
            </w:r>
            <w:r>
              <w:rPr>
                <w:rFonts w:hint="eastAsia" w:ascii="仿宋" w:hAnsi="仿宋" w:eastAsia="仿宋" w:cs="仿宋"/>
                <w:sz w:val="21"/>
                <w:szCs w:val="21"/>
                <w:lang w:val="en-US" w:eastAsia="zh-CN"/>
              </w:rPr>
              <w:t>标准的</w:t>
            </w:r>
            <w:r>
              <w:rPr>
                <w:rFonts w:hint="eastAsia" w:ascii="仿宋" w:hAnsi="仿宋" w:eastAsia="仿宋" w:cs="仿宋"/>
                <w:sz w:val="21"/>
                <w:szCs w:val="21"/>
              </w:rPr>
              <w:t>宣贯实施。</w:t>
            </w:r>
          </w:p>
        </w:tc>
      </w:tr>
      <w:tr w14:paraId="2D7F0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3" w:type="dxa"/>
            <w:noWrap w:val="0"/>
            <w:vAlign w:val="center"/>
          </w:tcPr>
          <w:p w14:paraId="340F8B2F">
            <w:pPr>
              <w:spacing w:line="240" w:lineRule="atLeast"/>
              <w:jc w:val="center"/>
              <w:rPr>
                <w:rFonts w:hint="eastAsia" w:ascii="仿宋" w:hAnsi="仿宋" w:eastAsia="仿宋" w:cs="仿宋"/>
                <w:sz w:val="21"/>
                <w:szCs w:val="21"/>
              </w:rPr>
            </w:pPr>
            <w:r>
              <w:rPr>
                <w:rFonts w:hint="eastAsia" w:ascii="仿宋" w:hAnsi="仿宋" w:eastAsia="仿宋" w:cs="仿宋"/>
                <w:b w:val="0"/>
                <w:color w:val="000000"/>
                <w:sz w:val="21"/>
                <w:szCs w:val="21"/>
              </w:rPr>
              <w:t>史华平</w:t>
            </w:r>
          </w:p>
        </w:tc>
        <w:tc>
          <w:tcPr>
            <w:tcW w:w="2638" w:type="dxa"/>
            <w:noWrap w:val="0"/>
            <w:vAlign w:val="center"/>
          </w:tcPr>
          <w:p w14:paraId="3BF1B428">
            <w:pPr>
              <w:spacing w:line="240" w:lineRule="atLeast"/>
              <w:jc w:val="center"/>
              <w:rPr>
                <w:rFonts w:hint="eastAsia" w:ascii="仿宋" w:hAnsi="仿宋" w:eastAsia="仿宋" w:cs="仿宋"/>
                <w:sz w:val="21"/>
                <w:szCs w:val="21"/>
              </w:rPr>
            </w:pPr>
            <w:r>
              <w:rPr>
                <w:rFonts w:hint="eastAsia" w:ascii="仿宋" w:hAnsi="仿宋" w:eastAsia="仿宋" w:cs="仿宋"/>
                <w:sz w:val="21"/>
                <w:szCs w:val="21"/>
                <w:lang w:val="en-US" w:eastAsia="zh-CN"/>
              </w:rPr>
              <w:t>山西农业大学果树研究所</w:t>
            </w:r>
          </w:p>
        </w:tc>
        <w:tc>
          <w:tcPr>
            <w:tcW w:w="1583" w:type="dxa"/>
            <w:noWrap w:val="0"/>
            <w:vAlign w:val="center"/>
          </w:tcPr>
          <w:p w14:paraId="550CF4A1">
            <w:pPr>
              <w:spacing w:line="240" w:lineRule="atLeast"/>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副研究员</w:t>
            </w:r>
          </w:p>
        </w:tc>
        <w:tc>
          <w:tcPr>
            <w:tcW w:w="3180" w:type="dxa"/>
            <w:noWrap w:val="0"/>
            <w:vAlign w:val="center"/>
          </w:tcPr>
          <w:p w14:paraId="619388C3">
            <w:pPr>
              <w:spacing w:line="240" w:lineRule="atLeast"/>
              <w:jc w:val="center"/>
              <w:rPr>
                <w:rFonts w:hint="eastAsia" w:ascii="仿宋" w:hAnsi="仿宋" w:eastAsia="仿宋" w:cs="仿宋"/>
                <w:sz w:val="21"/>
                <w:szCs w:val="21"/>
              </w:rPr>
            </w:pPr>
            <w:r>
              <w:rPr>
                <w:rFonts w:hint="eastAsia" w:ascii="仿宋" w:hAnsi="仿宋" w:eastAsia="仿宋" w:cs="仿宋"/>
                <w:sz w:val="21"/>
                <w:szCs w:val="21"/>
                <w:lang w:val="en-US" w:eastAsia="zh-CN"/>
              </w:rPr>
              <w:t>侧重</w:t>
            </w:r>
            <w:r>
              <w:rPr>
                <w:rFonts w:hint="eastAsia" w:ascii="仿宋" w:hAnsi="仿宋" w:eastAsia="仿宋" w:cs="仿宋"/>
                <w:sz w:val="21"/>
                <w:szCs w:val="21"/>
              </w:rPr>
              <w:t>农业标准化，负责</w:t>
            </w:r>
            <w:r>
              <w:rPr>
                <w:rFonts w:hint="eastAsia" w:ascii="仿宋" w:hAnsi="仿宋" w:eastAsia="仿宋" w:cs="仿宋"/>
                <w:sz w:val="21"/>
                <w:szCs w:val="21"/>
                <w:lang w:val="en-US" w:eastAsia="zh-CN"/>
              </w:rPr>
              <w:t>标准</w:t>
            </w:r>
            <w:r>
              <w:rPr>
                <w:rFonts w:hint="eastAsia" w:ascii="仿宋" w:hAnsi="仿宋" w:eastAsia="仿宋" w:cs="仿宋"/>
                <w:sz w:val="21"/>
                <w:szCs w:val="21"/>
              </w:rPr>
              <w:t>的起草和标准制定。</w:t>
            </w:r>
          </w:p>
        </w:tc>
      </w:tr>
      <w:tr w14:paraId="35D37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3" w:type="dxa"/>
            <w:noWrap w:val="0"/>
            <w:vAlign w:val="center"/>
          </w:tcPr>
          <w:p w14:paraId="02BB1BEC">
            <w:pPr>
              <w:spacing w:line="240" w:lineRule="atLeast"/>
              <w:jc w:val="center"/>
              <w:rPr>
                <w:rFonts w:hint="eastAsia" w:ascii="仿宋" w:hAnsi="仿宋" w:eastAsia="仿宋" w:cs="仿宋"/>
                <w:sz w:val="21"/>
                <w:szCs w:val="21"/>
              </w:rPr>
            </w:pPr>
            <w:r>
              <w:rPr>
                <w:rFonts w:hint="eastAsia" w:ascii="仿宋" w:hAnsi="仿宋" w:eastAsia="仿宋" w:cs="仿宋"/>
                <w:b w:val="0"/>
                <w:color w:val="000000"/>
                <w:sz w:val="21"/>
                <w:szCs w:val="21"/>
              </w:rPr>
              <w:t>李磊</w:t>
            </w:r>
          </w:p>
        </w:tc>
        <w:tc>
          <w:tcPr>
            <w:tcW w:w="2638" w:type="dxa"/>
            <w:noWrap w:val="0"/>
            <w:vAlign w:val="center"/>
          </w:tcPr>
          <w:p w14:paraId="7F7C3560">
            <w:pPr>
              <w:spacing w:line="240" w:lineRule="atLeast"/>
              <w:jc w:val="center"/>
              <w:rPr>
                <w:rFonts w:hint="eastAsia" w:ascii="仿宋" w:hAnsi="仿宋" w:eastAsia="仿宋" w:cs="仿宋"/>
                <w:sz w:val="21"/>
                <w:szCs w:val="21"/>
                <w:lang w:val="en-US"/>
              </w:rPr>
            </w:pPr>
            <w:r>
              <w:rPr>
                <w:rFonts w:hint="eastAsia" w:ascii="仿宋" w:hAnsi="仿宋" w:eastAsia="仿宋" w:cs="仿宋"/>
                <w:sz w:val="21"/>
                <w:szCs w:val="21"/>
                <w:lang w:val="en-US" w:eastAsia="zh-CN"/>
              </w:rPr>
              <w:t>山西农业大学园艺学院</w:t>
            </w:r>
          </w:p>
        </w:tc>
        <w:tc>
          <w:tcPr>
            <w:tcW w:w="1583" w:type="dxa"/>
            <w:noWrap w:val="0"/>
            <w:vAlign w:val="center"/>
          </w:tcPr>
          <w:p w14:paraId="3810B168">
            <w:pPr>
              <w:spacing w:line="240" w:lineRule="atLeast"/>
              <w:jc w:val="center"/>
              <w:rPr>
                <w:rFonts w:hint="eastAsia" w:ascii="仿宋" w:hAnsi="仿宋" w:eastAsia="仿宋" w:cs="仿宋"/>
                <w:sz w:val="21"/>
                <w:szCs w:val="21"/>
              </w:rPr>
            </w:pPr>
            <w:r>
              <w:rPr>
                <w:rFonts w:hint="eastAsia" w:ascii="仿宋" w:hAnsi="仿宋" w:eastAsia="仿宋" w:cs="仿宋"/>
                <w:sz w:val="21"/>
                <w:szCs w:val="21"/>
                <w:lang w:val="en-US" w:eastAsia="zh-CN"/>
              </w:rPr>
              <w:t>研究员</w:t>
            </w:r>
          </w:p>
        </w:tc>
        <w:tc>
          <w:tcPr>
            <w:tcW w:w="3180" w:type="dxa"/>
            <w:noWrap w:val="0"/>
            <w:vAlign w:val="center"/>
          </w:tcPr>
          <w:p w14:paraId="0D57AB2A">
            <w:pPr>
              <w:spacing w:line="240" w:lineRule="atLeast"/>
              <w:jc w:val="center"/>
              <w:rPr>
                <w:rFonts w:hint="eastAsia" w:ascii="仿宋" w:hAnsi="仿宋" w:eastAsia="仿宋" w:cs="仿宋"/>
                <w:sz w:val="21"/>
                <w:szCs w:val="21"/>
              </w:rPr>
            </w:pPr>
            <w:r>
              <w:rPr>
                <w:rFonts w:hint="eastAsia" w:ascii="仿宋" w:hAnsi="仿宋" w:eastAsia="仿宋" w:cs="仿宋"/>
                <w:i w:val="0"/>
                <w:iCs w:val="0"/>
                <w:caps w:val="0"/>
                <w:color w:val="000000"/>
                <w:spacing w:val="0"/>
                <w:sz w:val="21"/>
                <w:szCs w:val="21"/>
                <w:shd w:val="clear" w:color="auto" w:fill="FFFFFF"/>
                <w:lang w:val="en-US" w:eastAsia="zh-CN"/>
              </w:rPr>
              <w:t>侧重</w:t>
            </w:r>
            <w:r>
              <w:rPr>
                <w:rFonts w:hint="eastAsia" w:ascii="仿宋" w:hAnsi="仿宋" w:eastAsia="仿宋" w:cs="仿宋"/>
                <w:i w:val="0"/>
                <w:iCs w:val="0"/>
                <w:caps w:val="0"/>
                <w:color w:val="000000"/>
                <w:spacing w:val="0"/>
                <w:sz w:val="21"/>
                <w:szCs w:val="21"/>
                <w:shd w:val="clear" w:color="auto" w:fill="FFFFFF"/>
              </w:rPr>
              <w:t>园艺学，负责规程中</w:t>
            </w:r>
            <w:r>
              <w:rPr>
                <w:rFonts w:hint="eastAsia" w:ascii="仿宋" w:hAnsi="仿宋" w:eastAsia="仿宋" w:cs="仿宋"/>
                <w:i w:val="0"/>
                <w:iCs w:val="0"/>
                <w:caps w:val="0"/>
                <w:color w:val="000000"/>
                <w:spacing w:val="0"/>
                <w:sz w:val="21"/>
                <w:szCs w:val="21"/>
                <w:shd w:val="clear" w:color="auto" w:fill="FFFFFF"/>
                <w:lang w:val="en-US" w:eastAsia="zh-CN"/>
              </w:rPr>
              <w:t>驯化移栽</w:t>
            </w:r>
            <w:r>
              <w:rPr>
                <w:rFonts w:hint="eastAsia" w:ascii="仿宋" w:hAnsi="仿宋" w:eastAsia="仿宋" w:cs="仿宋"/>
                <w:i w:val="0"/>
                <w:iCs w:val="0"/>
                <w:caps w:val="0"/>
                <w:color w:val="000000"/>
                <w:spacing w:val="0"/>
                <w:sz w:val="21"/>
                <w:szCs w:val="21"/>
                <w:shd w:val="clear" w:color="auto" w:fill="FFFFFF"/>
              </w:rPr>
              <w:t>部分的起草。</w:t>
            </w:r>
          </w:p>
        </w:tc>
      </w:tr>
      <w:tr w14:paraId="40471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3" w:type="dxa"/>
            <w:noWrap w:val="0"/>
            <w:vAlign w:val="center"/>
          </w:tcPr>
          <w:p w14:paraId="19183722">
            <w:pPr>
              <w:spacing w:line="240" w:lineRule="atLeast"/>
              <w:jc w:val="center"/>
              <w:rPr>
                <w:rFonts w:hint="eastAsia" w:ascii="仿宋" w:hAnsi="仿宋" w:eastAsia="仿宋" w:cs="仿宋"/>
                <w:sz w:val="21"/>
                <w:szCs w:val="21"/>
              </w:rPr>
            </w:pPr>
            <w:r>
              <w:rPr>
                <w:rFonts w:hint="eastAsia" w:ascii="仿宋" w:hAnsi="仿宋" w:eastAsia="仿宋" w:cs="仿宋"/>
                <w:b w:val="0"/>
                <w:color w:val="000000"/>
                <w:sz w:val="21"/>
                <w:szCs w:val="21"/>
              </w:rPr>
              <w:t>李志强</w:t>
            </w:r>
          </w:p>
        </w:tc>
        <w:tc>
          <w:tcPr>
            <w:tcW w:w="2638" w:type="dxa"/>
            <w:noWrap w:val="0"/>
            <w:vAlign w:val="center"/>
          </w:tcPr>
          <w:p w14:paraId="5CB8768E">
            <w:pPr>
              <w:spacing w:line="240" w:lineRule="atLeast"/>
              <w:jc w:val="center"/>
              <w:rPr>
                <w:rFonts w:hint="eastAsia" w:ascii="仿宋" w:hAnsi="仿宋" w:eastAsia="仿宋" w:cs="仿宋"/>
                <w:sz w:val="21"/>
                <w:szCs w:val="21"/>
              </w:rPr>
            </w:pPr>
            <w:r>
              <w:rPr>
                <w:rFonts w:hint="eastAsia" w:ascii="仿宋" w:hAnsi="仿宋" w:eastAsia="仿宋" w:cs="仿宋"/>
                <w:sz w:val="21"/>
                <w:szCs w:val="21"/>
                <w:lang w:val="en-US" w:eastAsia="zh-CN"/>
              </w:rPr>
              <w:t>山西农业大学园艺学院</w:t>
            </w:r>
          </w:p>
        </w:tc>
        <w:tc>
          <w:tcPr>
            <w:tcW w:w="1583" w:type="dxa"/>
            <w:noWrap w:val="0"/>
            <w:vAlign w:val="center"/>
          </w:tcPr>
          <w:p w14:paraId="236E0E88">
            <w:pPr>
              <w:spacing w:line="240" w:lineRule="atLeast"/>
              <w:jc w:val="center"/>
              <w:rPr>
                <w:rFonts w:hint="eastAsia" w:ascii="仿宋" w:hAnsi="仿宋" w:eastAsia="仿宋" w:cs="仿宋"/>
                <w:sz w:val="21"/>
                <w:szCs w:val="21"/>
              </w:rPr>
            </w:pPr>
            <w:r>
              <w:rPr>
                <w:rFonts w:hint="eastAsia" w:ascii="仿宋" w:hAnsi="仿宋" w:eastAsia="仿宋" w:cs="仿宋"/>
                <w:sz w:val="21"/>
                <w:szCs w:val="21"/>
                <w:lang w:val="en-US" w:eastAsia="zh-CN"/>
              </w:rPr>
              <w:t>副研究员</w:t>
            </w:r>
          </w:p>
        </w:tc>
        <w:tc>
          <w:tcPr>
            <w:tcW w:w="3180" w:type="dxa"/>
            <w:noWrap w:val="0"/>
            <w:vAlign w:val="center"/>
          </w:tcPr>
          <w:p w14:paraId="1F7103D4">
            <w:pPr>
              <w:spacing w:line="240" w:lineRule="atLeas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侧重农产品市场营销，负责标准的</w:t>
            </w:r>
            <w:r>
              <w:rPr>
                <w:rFonts w:hint="eastAsia" w:ascii="仿宋" w:hAnsi="仿宋" w:eastAsia="仿宋" w:cs="仿宋"/>
                <w:sz w:val="21"/>
                <w:szCs w:val="21"/>
              </w:rPr>
              <w:t>宣贯实施</w:t>
            </w:r>
            <w:r>
              <w:rPr>
                <w:rFonts w:hint="eastAsia" w:ascii="仿宋" w:hAnsi="仿宋" w:eastAsia="仿宋" w:cs="仿宋"/>
                <w:sz w:val="21"/>
                <w:szCs w:val="21"/>
                <w:lang w:val="en-US" w:eastAsia="zh-CN"/>
              </w:rPr>
              <w:t>。</w:t>
            </w:r>
          </w:p>
        </w:tc>
      </w:tr>
      <w:tr w14:paraId="2DF63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3" w:type="dxa"/>
            <w:noWrap w:val="0"/>
            <w:vAlign w:val="center"/>
          </w:tcPr>
          <w:p w14:paraId="21ACC250">
            <w:pPr>
              <w:spacing w:line="240" w:lineRule="atLeast"/>
              <w:jc w:val="center"/>
              <w:rPr>
                <w:rFonts w:hint="eastAsia" w:ascii="仿宋" w:hAnsi="仿宋" w:eastAsia="仿宋" w:cs="仿宋"/>
                <w:sz w:val="21"/>
                <w:szCs w:val="21"/>
              </w:rPr>
            </w:pPr>
            <w:r>
              <w:rPr>
                <w:rFonts w:hint="eastAsia" w:ascii="仿宋" w:hAnsi="仿宋" w:eastAsia="仿宋" w:cs="仿宋"/>
                <w:b w:val="0"/>
                <w:color w:val="000000"/>
                <w:sz w:val="21"/>
                <w:szCs w:val="21"/>
              </w:rPr>
              <w:t>程春振</w:t>
            </w:r>
          </w:p>
        </w:tc>
        <w:tc>
          <w:tcPr>
            <w:tcW w:w="2638" w:type="dxa"/>
            <w:noWrap w:val="0"/>
            <w:vAlign w:val="center"/>
          </w:tcPr>
          <w:p w14:paraId="30BC3D42">
            <w:pPr>
              <w:spacing w:line="240" w:lineRule="atLeast"/>
              <w:jc w:val="center"/>
              <w:rPr>
                <w:rFonts w:hint="eastAsia" w:ascii="仿宋" w:hAnsi="仿宋" w:eastAsia="仿宋" w:cs="仿宋"/>
                <w:sz w:val="21"/>
                <w:szCs w:val="21"/>
              </w:rPr>
            </w:pPr>
            <w:r>
              <w:rPr>
                <w:rFonts w:hint="eastAsia" w:ascii="仿宋" w:hAnsi="仿宋" w:eastAsia="仿宋" w:cs="仿宋"/>
                <w:sz w:val="21"/>
                <w:szCs w:val="21"/>
                <w:lang w:val="en-US" w:eastAsia="zh-CN"/>
              </w:rPr>
              <w:t>山西农业大学园艺学院</w:t>
            </w:r>
          </w:p>
        </w:tc>
        <w:tc>
          <w:tcPr>
            <w:tcW w:w="1583" w:type="dxa"/>
            <w:noWrap w:val="0"/>
            <w:vAlign w:val="center"/>
          </w:tcPr>
          <w:p w14:paraId="4D66D1CE">
            <w:pPr>
              <w:spacing w:line="240" w:lineRule="atLeast"/>
              <w:jc w:val="center"/>
              <w:rPr>
                <w:rFonts w:hint="eastAsia" w:ascii="仿宋" w:hAnsi="仿宋" w:eastAsia="仿宋" w:cs="仿宋"/>
                <w:sz w:val="21"/>
                <w:szCs w:val="21"/>
              </w:rPr>
            </w:pPr>
            <w:r>
              <w:rPr>
                <w:rFonts w:hint="eastAsia" w:ascii="仿宋" w:hAnsi="仿宋" w:eastAsia="仿宋" w:cs="仿宋"/>
                <w:sz w:val="21"/>
                <w:szCs w:val="21"/>
                <w:lang w:val="en-US" w:eastAsia="zh-CN"/>
              </w:rPr>
              <w:t>副教授</w:t>
            </w:r>
          </w:p>
        </w:tc>
        <w:tc>
          <w:tcPr>
            <w:tcW w:w="3180" w:type="dxa"/>
            <w:noWrap w:val="0"/>
            <w:vAlign w:val="center"/>
          </w:tcPr>
          <w:p w14:paraId="408E7BB8">
            <w:pPr>
              <w:spacing w:line="240" w:lineRule="atLeast"/>
              <w:jc w:val="center"/>
              <w:rPr>
                <w:rFonts w:hint="eastAsia" w:ascii="仿宋" w:hAnsi="仿宋" w:eastAsia="仿宋" w:cs="仿宋"/>
                <w:sz w:val="21"/>
                <w:szCs w:val="21"/>
              </w:rPr>
            </w:pPr>
            <w:r>
              <w:rPr>
                <w:rFonts w:hint="eastAsia" w:ascii="仿宋" w:hAnsi="仿宋" w:eastAsia="仿宋" w:cs="仿宋"/>
                <w:sz w:val="21"/>
                <w:szCs w:val="21"/>
                <w:lang w:val="en-US" w:eastAsia="zh-CN"/>
              </w:rPr>
              <w:t>侧重</w:t>
            </w:r>
            <w:r>
              <w:rPr>
                <w:rFonts w:hint="eastAsia" w:ascii="仿宋" w:hAnsi="仿宋" w:eastAsia="仿宋" w:cs="仿宋"/>
                <w:sz w:val="21"/>
                <w:szCs w:val="21"/>
              </w:rPr>
              <w:t>植物病理学，负责草莓</w:t>
            </w:r>
            <w:r>
              <w:rPr>
                <w:rFonts w:hint="eastAsia" w:ascii="仿宋" w:hAnsi="仿宋" w:eastAsia="仿宋" w:cs="仿宋"/>
                <w:sz w:val="21"/>
                <w:szCs w:val="21"/>
                <w:lang w:val="en-US" w:eastAsia="zh-CN"/>
              </w:rPr>
              <w:t>病毒</w:t>
            </w:r>
            <w:r>
              <w:rPr>
                <w:rFonts w:hint="eastAsia" w:ascii="仿宋" w:hAnsi="仿宋" w:eastAsia="仿宋" w:cs="仿宋"/>
                <w:sz w:val="21"/>
                <w:szCs w:val="21"/>
              </w:rPr>
              <w:t>检测和防控</w:t>
            </w:r>
            <w:r>
              <w:rPr>
                <w:rFonts w:hint="eastAsia" w:ascii="仿宋" w:hAnsi="仿宋" w:eastAsia="仿宋" w:cs="仿宋"/>
                <w:sz w:val="21"/>
                <w:szCs w:val="21"/>
                <w:lang w:val="en-US" w:eastAsia="zh-CN"/>
              </w:rPr>
              <w:t>相关内容起草</w:t>
            </w:r>
            <w:r>
              <w:rPr>
                <w:rFonts w:hint="eastAsia" w:ascii="仿宋" w:hAnsi="仿宋" w:eastAsia="仿宋" w:cs="仿宋"/>
                <w:sz w:val="21"/>
                <w:szCs w:val="21"/>
              </w:rPr>
              <w:t>。</w:t>
            </w:r>
          </w:p>
        </w:tc>
      </w:tr>
      <w:tr w14:paraId="32F78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3" w:type="dxa"/>
            <w:noWrap w:val="0"/>
            <w:vAlign w:val="center"/>
          </w:tcPr>
          <w:p w14:paraId="0317E852">
            <w:pPr>
              <w:spacing w:line="240" w:lineRule="atLeast"/>
              <w:jc w:val="center"/>
              <w:rPr>
                <w:rFonts w:hint="eastAsia" w:ascii="仿宋" w:hAnsi="仿宋" w:eastAsia="仿宋" w:cs="仿宋"/>
                <w:sz w:val="21"/>
                <w:szCs w:val="21"/>
              </w:rPr>
            </w:pPr>
            <w:r>
              <w:rPr>
                <w:rFonts w:hint="eastAsia" w:ascii="仿宋" w:hAnsi="仿宋" w:eastAsia="仿宋" w:cs="仿宋"/>
                <w:b w:val="0"/>
                <w:color w:val="000000"/>
                <w:sz w:val="21"/>
                <w:szCs w:val="21"/>
              </w:rPr>
              <w:t>武敏</w:t>
            </w:r>
          </w:p>
        </w:tc>
        <w:tc>
          <w:tcPr>
            <w:tcW w:w="2638" w:type="dxa"/>
            <w:noWrap w:val="0"/>
            <w:vAlign w:val="center"/>
          </w:tcPr>
          <w:p w14:paraId="11BECCB3">
            <w:pPr>
              <w:spacing w:line="240" w:lineRule="atLeast"/>
              <w:jc w:val="center"/>
              <w:rPr>
                <w:rFonts w:hint="eastAsia" w:ascii="仿宋" w:hAnsi="仿宋" w:eastAsia="仿宋" w:cs="仿宋"/>
                <w:sz w:val="21"/>
                <w:szCs w:val="21"/>
              </w:rPr>
            </w:pPr>
            <w:r>
              <w:rPr>
                <w:rFonts w:hint="eastAsia" w:ascii="仿宋" w:hAnsi="仿宋" w:eastAsia="仿宋" w:cs="仿宋"/>
                <w:sz w:val="21"/>
                <w:szCs w:val="21"/>
                <w:lang w:val="en-US" w:eastAsia="zh-CN"/>
              </w:rPr>
              <w:t>山西农业大学园艺学院</w:t>
            </w:r>
          </w:p>
        </w:tc>
        <w:tc>
          <w:tcPr>
            <w:tcW w:w="1583" w:type="dxa"/>
            <w:noWrap w:val="0"/>
            <w:vAlign w:val="center"/>
          </w:tcPr>
          <w:p w14:paraId="79385715">
            <w:pPr>
              <w:spacing w:line="240" w:lineRule="atLeast"/>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助理研究员</w:t>
            </w:r>
          </w:p>
        </w:tc>
        <w:tc>
          <w:tcPr>
            <w:tcW w:w="3180" w:type="dxa"/>
            <w:noWrap w:val="0"/>
            <w:vAlign w:val="center"/>
          </w:tcPr>
          <w:p w14:paraId="3ED797CD">
            <w:pPr>
              <w:spacing w:line="240" w:lineRule="atLeas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侧重农产品质量安全，</w:t>
            </w:r>
            <w:r>
              <w:rPr>
                <w:rFonts w:hint="eastAsia" w:ascii="仿宋" w:hAnsi="仿宋" w:eastAsia="仿宋" w:cs="仿宋"/>
                <w:sz w:val="21"/>
                <w:szCs w:val="21"/>
              </w:rPr>
              <w:t>负责</w:t>
            </w:r>
            <w:r>
              <w:rPr>
                <w:rFonts w:hint="eastAsia" w:ascii="仿宋" w:hAnsi="仿宋" w:eastAsia="仿宋" w:cs="仿宋"/>
                <w:sz w:val="21"/>
                <w:szCs w:val="21"/>
                <w:lang w:val="en-US" w:eastAsia="zh-CN"/>
              </w:rPr>
              <w:t>标准的</w:t>
            </w:r>
            <w:r>
              <w:rPr>
                <w:rFonts w:hint="eastAsia" w:ascii="仿宋" w:hAnsi="仿宋" w:eastAsia="仿宋" w:cs="仿宋"/>
                <w:sz w:val="21"/>
                <w:szCs w:val="21"/>
              </w:rPr>
              <w:t>宣贯实施。</w:t>
            </w:r>
          </w:p>
        </w:tc>
      </w:tr>
      <w:tr w14:paraId="713FA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3" w:type="dxa"/>
            <w:noWrap w:val="0"/>
            <w:vAlign w:val="center"/>
          </w:tcPr>
          <w:p w14:paraId="05595C90">
            <w:pPr>
              <w:spacing w:line="240" w:lineRule="atLeast"/>
              <w:jc w:val="center"/>
              <w:rPr>
                <w:rFonts w:hint="eastAsia" w:ascii="仿宋" w:hAnsi="仿宋" w:eastAsia="仿宋" w:cs="仿宋"/>
                <w:sz w:val="21"/>
                <w:szCs w:val="21"/>
              </w:rPr>
            </w:pPr>
            <w:r>
              <w:rPr>
                <w:rFonts w:hint="eastAsia" w:ascii="仿宋" w:hAnsi="仿宋" w:eastAsia="仿宋" w:cs="仿宋"/>
                <w:b w:val="0"/>
                <w:color w:val="000000"/>
                <w:sz w:val="21"/>
                <w:szCs w:val="21"/>
              </w:rPr>
              <w:t>赵琪</w:t>
            </w:r>
          </w:p>
        </w:tc>
        <w:tc>
          <w:tcPr>
            <w:tcW w:w="2638" w:type="dxa"/>
            <w:noWrap w:val="0"/>
            <w:vAlign w:val="center"/>
          </w:tcPr>
          <w:p w14:paraId="2EAC378C">
            <w:pPr>
              <w:spacing w:line="240" w:lineRule="atLeast"/>
              <w:jc w:val="center"/>
              <w:rPr>
                <w:rFonts w:hint="eastAsia" w:ascii="仿宋" w:hAnsi="仿宋" w:eastAsia="仿宋" w:cs="仿宋"/>
                <w:sz w:val="21"/>
                <w:szCs w:val="21"/>
              </w:rPr>
            </w:pPr>
            <w:r>
              <w:rPr>
                <w:rFonts w:hint="eastAsia" w:ascii="仿宋" w:hAnsi="仿宋" w:eastAsia="仿宋" w:cs="仿宋"/>
                <w:sz w:val="21"/>
                <w:szCs w:val="21"/>
                <w:lang w:val="en-US" w:eastAsia="zh-CN"/>
              </w:rPr>
              <w:t>山西农业大学园艺学院</w:t>
            </w:r>
          </w:p>
        </w:tc>
        <w:tc>
          <w:tcPr>
            <w:tcW w:w="1583" w:type="dxa"/>
            <w:noWrap w:val="0"/>
            <w:vAlign w:val="center"/>
          </w:tcPr>
          <w:p w14:paraId="6FD2D75F">
            <w:pPr>
              <w:spacing w:line="240" w:lineRule="atLeast"/>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助理研究员</w:t>
            </w:r>
          </w:p>
        </w:tc>
        <w:tc>
          <w:tcPr>
            <w:tcW w:w="3180" w:type="dxa"/>
            <w:noWrap w:val="0"/>
            <w:vAlign w:val="center"/>
          </w:tcPr>
          <w:p w14:paraId="427BC1DE">
            <w:pPr>
              <w:spacing w:line="240" w:lineRule="atLeast"/>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侧重农业信息技术，</w:t>
            </w:r>
            <w:r>
              <w:rPr>
                <w:rFonts w:hint="eastAsia" w:ascii="仿宋" w:hAnsi="仿宋" w:eastAsia="仿宋" w:cs="仿宋"/>
                <w:sz w:val="21"/>
                <w:szCs w:val="21"/>
              </w:rPr>
              <w:t>负责</w:t>
            </w:r>
            <w:r>
              <w:rPr>
                <w:rFonts w:hint="eastAsia" w:ascii="仿宋" w:hAnsi="仿宋" w:eastAsia="仿宋" w:cs="仿宋"/>
                <w:sz w:val="21"/>
                <w:szCs w:val="21"/>
                <w:lang w:val="en-US" w:eastAsia="zh-CN"/>
              </w:rPr>
              <w:t>标准的</w:t>
            </w:r>
            <w:r>
              <w:rPr>
                <w:rFonts w:hint="eastAsia" w:ascii="仿宋" w:hAnsi="仿宋" w:eastAsia="仿宋" w:cs="仿宋"/>
                <w:sz w:val="21"/>
                <w:szCs w:val="21"/>
              </w:rPr>
              <w:t>宣贯实施。</w:t>
            </w:r>
          </w:p>
        </w:tc>
      </w:tr>
      <w:tr w14:paraId="329B6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3" w:type="dxa"/>
            <w:noWrap w:val="0"/>
            <w:vAlign w:val="center"/>
          </w:tcPr>
          <w:p w14:paraId="3C310889">
            <w:pPr>
              <w:spacing w:line="240" w:lineRule="atLeast"/>
              <w:jc w:val="center"/>
              <w:rPr>
                <w:rFonts w:hint="eastAsia" w:ascii="仿宋" w:hAnsi="仿宋" w:eastAsia="仿宋" w:cs="仿宋"/>
                <w:sz w:val="21"/>
                <w:szCs w:val="21"/>
              </w:rPr>
            </w:pPr>
            <w:r>
              <w:rPr>
                <w:rFonts w:hint="eastAsia" w:ascii="仿宋" w:hAnsi="仿宋" w:eastAsia="仿宋" w:cs="仿宋"/>
                <w:b w:val="0"/>
                <w:color w:val="000000"/>
                <w:sz w:val="21"/>
                <w:szCs w:val="21"/>
              </w:rPr>
              <w:t>李倩</w:t>
            </w:r>
          </w:p>
        </w:tc>
        <w:tc>
          <w:tcPr>
            <w:tcW w:w="2638" w:type="dxa"/>
            <w:noWrap w:val="0"/>
            <w:vAlign w:val="center"/>
          </w:tcPr>
          <w:p w14:paraId="306F6214">
            <w:pPr>
              <w:spacing w:line="240" w:lineRule="atLeast"/>
              <w:jc w:val="center"/>
              <w:rPr>
                <w:rFonts w:hint="eastAsia" w:ascii="仿宋" w:hAnsi="仿宋" w:eastAsia="仿宋" w:cs="仿宋"/>
                <w:sz w:val="21"/>
                <w:szCs w:val="21"/>
              </w:rPr>
            </w:pPr>
            <w:r>
              <w:rPr>
                <w:rFonts w:hint="eastAsia" w:ascii="仿宋" w:hAnsi="仿宋" w:eastAsia="仿宋" w:cs="仿宋"/>
                <w:sz w:val="21"/>
                <w:szCs w:val="21"/>
                <w:lang w:val="en-US" w:eastAsia="zh-CN"/>
              </w:rPr>
              <w:t>山西农业大学园艺学院</w:t>
            </w:r>
          </w:p>
        </w:tc>
        <w:tc>
          <w:tcPr>
            <w:tcW w:w="1583" w:type="dxa"/>
            <w:noWrap w:val="0"/>
            <w:vAlign w:val="center"/>
          </w:tcPr>
          <w:p w14:paraId="2CB6533F">
            <w:pPr>
              <w:spacing w:line="240" w:lineRule="atLeast"/>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助理研究员</w:t>
            </w:r>
          </w:p>
        </w:tc>
        <w:tc>
          <w:tcPr>
            <w:tcW w:w="3180" w:type="dxa"/>
            <w:noWrap w:val="0"/>
            <w:vAlign w:val="center"/>
          </w:tcPr>
          <w:p w14:paraId="58A420D3">
            <w:pPr>
              <w:spacing w:line="240" w:lineRule="atLeast"/>
              <w:jc w:val="center"/>
              <w:rPr>
                <w:rFonts w:hint="eastAsia" w:ascii="仿宋" w:hAnsi="仿宋" w:eastAsia="仿宋" w:cs="仿宋"/>
                <w:sz w:val="21"/>
                <w:szCs w:val="21"/>
              </w:rPr>
            </w:pPr>
            <w:r>
              <w:rPr>
                <w:rFonts w:hint="eastAsia" w:ascii="仿宋" w:hAnsi="仿宋" w:eastAsia="仿宋" w:cs="仿宋"/>
                <w:sz w:val="21"/>
                <w:szCs w:val="21"/>
                <w:lang w:val="en-US" w:eastAsia="zh-CN"/>
              </w:rPr>
              <w:t>侧重</w:t>
            </w:r>
            <w:r>
              <w:rPr>
                <w:rFonts w:hint="eastAsia" w:ascii="仿宋" w:hAnsi="仿宋" w:eastAsia="仿宋" w:cs="仿宋"/>
                <w:sz w:val="21"/>
                <w:szCs w:val="21"/>
              </w:rPr>
              <w:t>农业政策法规，负责</w:t>
            </w:r>
            <w:r>
              <w:rPr>
                <w:rFonts w:hint="eastAsia" w:ascii="仿宋" w:hAnsi="仿宋" w:eastAsia="仿宋" w:cs="仿宋"/>
                <w:sz w:val="21"/>
                <w:szCs w:val="21"/>
                <w:lang w:val="en-US" w:eastAsia="zh-CN"/>
              </w:rPr>
              <w:t>标准的</w:t>
            </w:r>
            <w:r>
              <w:rPr>
                <w:rFonts w:hint="eastAsia" w:ascii="仿宋" w:hAnsi="仿宋" w:eastAsia="仿宋" w:cs="仿宋"/>
                <w:sz w:val="21"/>
                <w:szCs w:val="21"/>
              </w:rPr>
              <w:t>宣贯实施。</w:t>
            </w:r>
          </w:p>
        </w:tc>
      </w:tr>
    </w:tbl>
    <w:p w14:paraId="3ADDAD3F">
      <w:pPr>
        <w:spacing w:line="540" w:lineRule="exact"/>
        <w:ind w:firstLine="480" w:firstLineChars="200"/>
        <w:rPr>
          <w:rFonts w:hint="eastAsia" w:ascii="仿宋" w:hAnsi="仿宋" w:eastAsia="仿宋" w:cs="仿宋"/>
          <w:b/>
          <w:snapToGrid w:val="0"/>
          <w:color w:val="000000"/>
          <w:kern w:val="0"/>
          <w:sz w:val="24"/>
          <w:szCs w:val="24"/>
          <w:lang w:val="en-US" w:eastAsia="zh-CN"/>
        </w:rPr>
      </w:pPr>
      <w:r>
        <w:rPr>
          <w:rFonts w:hint="eastAsia" w:ascii="仿宋" w:hAnsi="仿宋" w:eastAsia="仿宋" w:cs="仿宋"/>
          <w:b/>
          <w:snapToGrid w:val="0"/>
          <w:color w:val="000000"/>
          <w:kern w:val="0"/>
          <w:sz w:val="24"/>
          <w:szCs w:val="24"/>
          <w:lang w:val="en-US" w:eastAsia="zh-CN"/>
        </w:rPr>
        <w:t>二、修订标准的必要性和意义</w:t>
      </w:r>
    </w:p>
    <w:p w14:paraId="6B8EBEE1">
      <w:pPr>
        <w:spacing w:line="360" w:lineRule="auto"/>
        <w:ind w:firstLine="480" w:firstLineChars="200"/>
        <w:rPr>
          <w:rFonts w:hint="eastAsia" w:ascii="仿宋" w:hAnsi="仿宋" w:eastAsia="仿宋" w:cs="仿宋"/>
          <w:sz w:val="24"/>
        </w:rPr>
      </w:pPr>
      <w:r>
        <w:rPr>
          <w:rFonts w:hint="eastAsia" w:ascii="仿宋" w:hAnsi="仿宋" w:eastAsia="仿宋" w:cs="仿宋"/>
          <w:sz w:val="24"/>
        </w:rPr>
        <w:t>随着草莓种植业的不断壮大，对于优质、健康的草莓种苗的需求也日益增加。为了</w:t>
      </w:r>
      <w:r>
        <w:rPr>
          <w:rFonts w:hint="eastAsia" w:ascii="仿宋" w:hAnsi="仿宋" w:eastAsia="仿宋" w:cs="仿宋"/>
          <w:sz w:val="24"/>
          <w:lang w:val="en-US" w:eastAsia="zh-CN"/>
        </w:rPr>
        <w:t>适应现阶段产业的发展需求，</w:t>
      </w:r>
      <w:r>
        <w:rPr>
          <w:rFonts w:hint="eastAsia" w:ascii="仿宋" w:hAnsi="仿宋" w:eastAsia="仿宋" w:cs="仿宋"/>
          <w:sz w:val="24"/>
        </w:rPr>
        <w:t>提高</w:t>
      </w:r>
      <w:r>
        <w:rPr>
          <w:rFonts w:hint="eastAsia" w:ascii="仿宋" w:hAnsi="仿宋" w:eastAsia="仿宋" w:cs="仿宋"/>
          <w:sz w:val="24"/>
          <w:lang w:val="en-US" w:eastAsia="zh-CN"/>
        </w:rPr>
        <w:t>我省</w:t>
      </w:r>
      <w:r>
        <w:rPr>
          <w:rFonts w:hint="eastAsia" w:ascii="仿宋" w:hAnsi="仿宋" w:eastAsia="仿宋" w:cs="仿宋"/>
          <w:sz w:val="24"/>
        </w:rPr>
        <w:t>草莓的产量和质量，减少病毒感染对草莓生长的影响，制定一套科学、规范</w:t>
      </w:r>
      <w:r>
        <w:rPr>
          <w:rFonts w:hint="eastAsia" w:ascii="仿宋" w:hAnsi="仿宋" w:eastAsia="仿宋" w:cs="仿宋"/>
          <w:sz w:val="24"/>
          <w:lang w:eastAsia="zh-CN"/>
        </w:rPr>
        <w:t>、</w:t>
      </w:r>
      <w:r>
        <w:rPr>
          <w:rFonts w:hint="eastAsia" w:ascii="仿宋" w:hAnsi="仿宋" w:eastAsia="仿宋" w:cs="仿宋"/>
          <w:sz w:val="24"/>
          <w:lang w:val="en-US" w:eastAsia="zh-CN"/>
        </w:rPr>
        <w:t>高效</w:t>
      </w:r>
      <w:r>
        <w:rPr>
          <w:rFonts w:hint="eastAsia" w:ascii="仿宋" w:hAnsi="仿宋" w:eastAsia="仿宋" w:cs="仿宋"/>
          <w:sz w:val="24"/>
        </w:rPr>
        <w:t>的草莓脱毒原原种苗制备技术规程</w:t>
      </w:r>
      <w:r>
        <w:rPr>
          <w:rFonts w:hint="eastAsia" w:ascii="仿宋" w:hAnsi="仿宋" w:eastAsia="仿宋" w:cs="仿宋"/>
          <w:sz w:val="24"/>
          <w:lang w:val="en-US" w:eastAsia="zh-CN"/>
        </w:rPr>
        <w:t>尤为重要</w:t>
      </w:r>
      <w:r>
        <w:rPr>
          <w:rFonts w:hint="eastAsia" w:ascii="仿宋" w:hAnsi="仿宋" w:eastAsia="仿宋" w:cs="仿宋"/>
          <w:sz w:val="24"/>
        </w:rPr>
        <w:t>。近年来，随着山西省地方标准《草莓脱毒原原种苗制备技术规程》的发布与实施，以及草莓种植产业先进脱毒技术与繁育技术的广泛推广和应用，我省草莓种苗繁育的标准化、健康化、高效化水平显著提升。山西产区的草莓品质日益显现其独特优势，以其鲜美口感和高营养价值受到</w:t>
      </w:r>
      <w:r>
        <w:rPr>
          <w:rFonts w:hint="eastAsia" w:ascii="仿宋" w:hAnsi="仿宋" w:eastAsia="仿宋" w:cs="仿宋"/>
          <w:sz w:val="24"/>
          <w:lang w:val="en-US" w:eastAsia="zh-CN"/>
        </w:rPr>
        <w:t>省</w:t>
      </w:r>
      <w:r>
        <w:rPr>
          <w:rFonts w:hint="eastAsia" w:ascii="仿宋" w:hAnsi="仿宋" w:eastAsia="仿宋" w:cs="仿宋"/>
          <w:sz w:val="24"/>
        </w:rPr>
        <w:t>内外消费者的广泛赞誉。这一标准的实施不仅推动了草莓产业的健康发展，也为山西草莓赢得了更广阔的市场空间。</w:t>
      </w:r>
    </w:p>
    <w:p w14:paraId="6FF23C7C">
      <w:pPr>
        <w:spacing w:line="360" w:lineRule="auto"/>
        <w:ind w:firstLine="480" w:firstLineChars="200"/>
        <w:rPr>
          <w:rFonts w:hint="eastAsia" w:ascii="仿宋" w:hAnsi="仿宋" w:eastAsia="仿宋" w:cs="仿宋"/>
          <w:sz w:val="24"/>
        </w:rPr>
      </w:pPr>
      <w:r>
        <w:rPr>
          <w:rFonts w:hint="eastAsia" w:ascii="仿宋" w:hAnsi="仿宋" w:eastAsia="仿宋" w:cs="仿宋"/>
          <w:sz w:val="24"/>
        </w:rPr>
        <w:t>根据“山西省市场监督管理局关于2022年度省级地方标准复审结论公告（山西省地方标准公告2022年第20号）要求，同时考虑到</w:t>
      </w:r>
      <w:r>
        <w:rPr>
          <w:rFonts w:hint="eastAsia" w:ascii="仿宋" w:hAnsi="仿宋" w:eastAsia="仿宋" w:cs="仿宋"/>
          <w:sz w:val="24"/>
          <w:lang w:val="en-US" w:eastAsia="zh-CN"/>
        </w:rPr>
        <w:t>现阶段</w:t>
      </w:r>
      <w:r>
        <w:rPr>
          <w:rFonts w:hint="eastAsia" w:ascii="仿宋" w:hAnsi="仿宋" w:eastAsia="仿宋" w:cs="仿宋"/>
          <w:sz w:val="24"/>
        </w:rPr>
        <w:t>科技进步和产业发展的实际需求，我们发现山西省地方标准《草莓脱毒原原种苗制备技术规程》所引用的部分技术内容和规范性文件已有更新或存在优化的空间。具体来说，原标准中涉及的</w:t>
      </w:r>
      <w:r>
        <w:rPr>
          <w:rFonts w:hint="eastAsia" w:ascii="仿宋" w:hAnsi="仿宋" w:eastAsia="仿宋" w:cs="仿宋"/>
          <w:sz w:val="24"/>
          <w:lang w:val="en-US" w:eastAsia="zh-CN"/>
        </w:rPr>
        <w:t>草莓病毒检测技术</w:t>
      </w:r>
      <w:r>
        <w:rPr>
          <w:rFonts w:hint="eastAsia" w:ascii="仿宋" w:hAnsi="仿宋" w:eastAsia="仿宋" w:cs="仿宋"/>
          <w:sz w:val="24"/>
        </w:rPr>
        <w:t>方法已随着科研进展和市场需求有所改进。此外，</w:t>
      </w:r>
      <w:r>
        <w:rPr>
          <w:rFonts w:hint="eastAsia" w:ascii="仿宋" w:hAnsi="仿宋" w:eastAsia="仿宋" w:cs="仿宋"/>
          <w:sz w:val="24"/>
          <w:lang w:val="en-US" w:eastAsia="zh-CN"/>
        </w:rPr>
        <w:t>在原标准近些年的实施过程中，实施单位在驯化移栽后</w:t>
      </w:r>
      <w:r>
        <w:rPr>
          <w:rFonts w:hint="eastAsia" w:ascii="仿宋" w:hAnsi="仿宋" w:eastAsia="仿宋" w:cs="仿宋"/>
          <w:sz w:val="24"/>
        </w:rPr>
        <w:t>脱毒原原种苗</w:t>
      </w:r>
      <w:r>
        <w:rPr>
          <w:rFonts w:hint="eastAsia" w:ascii="仿宋" w:hAnsi="仿宋" w:eastAsia="仿宋" w:cs="仿宋"/>
          <w:sz w:val="24"/>
          <w:lang w:val="en-US" w:eastAsia="zh-CN"/>
        </w:rPr>
        <w:t>的保存措施方面还存在一定的问题</w:t>
      </w:r>
      <w:r>
        <w:rPr>
          <w:rFonts w:hint="eastAsia" w:ascii="仿宋" w:hAnsi="仿宋" w:eastAsia="仿宋" w:cs="仿宋"/>
          <w:sz w:val="24"/>
        </w:rPr>
        <w:t>，需要纳入</w:t>
      </w:r>
      <w:r>
        <w:rPr>
          <w:rFonts w:hint="eastAsia" w:ascii="仿宋" w:hAnsi="仿宋" w:eastAsia="仿宋" w:cs="仿宋"/>
          <w:sz w:val="24"/>
          <w:lang w:val="en-US" w:eastAsia="zh-CN"/>
        </w:rPr>
        <w:t>标准化的保存措施以防止病毒的再次感染</w:t>
      </w:r>
      <w:r>
        <w:rPr>
          <w:rFonts w:hint="eastAsia" w:ascii="仿宋" w:hAnsi="仿宋" w:eastAsia="仿宋" w:cs="仿宋"/>
          <w:sz w:val="24"/>
        </w:rPr>
        <w:t>。因此，按照前瞻性、实用性、科学性和可操作性的原则，对山西省地方标准《草莓脱毒原原种苗制备技术规程》进行修订是十分必要的。这将有助于确保标准的技术领先性和经济实用性，为草莓种植者提供更加科学、高效的种植指导，进一步推动我省草莓产业的持续发展和品质提升。</w:t>
      </w:r>
    </w:p>
    <w:p w14:paraId="04EC4BDE">
      <w:pPr>
        <w:spacing w:line="360" w:lineRule="auto"/>
        <w:ind w:firstLine="480" w:firstLineChars="200"/>
        <w:outlineLvl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三、主要修订工作过程</w:t>
      </w:r>
    </w:p>
    <w:p w14:paraId="6D01CE14">
      <w:pPr>
        <w:spacing w:line="360" w:lineRule="auto"/>
        <w:ind w:firstLine="480" w:firstLineChars="200"/>
        <w:jc w:val="left"/>
        <w:outlineLvl w:val="1"/>
        <w:rPr>
          <w:rFonts w:eastAsia="楷体_GB2312"/>
          <w:sz w:val="24"/>
        </w:rPr>
      </w:pPr>
      <w:r>
        <w:rPr>
          <w:rFonts w:eastAsia="楷体_GB2312"/>
          <w:sz w:val="24"/>
        </w:rPr>
        <w:t>1成立标准修订工作组</w:t>
      </w:r>
    </w:p>
    <w:p w14:paraId="0A4857CA">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2022年12月成立《</w:t>
      </w:r>
      <w:r>
        <w:rPr>
          <w:rFonts w:hint="eastAsia" w:ascii="仿宋" w:hAnsi="仿宋" w:eastAsia="仿宋" w:cs="仿宋"/>
          <w:sz w:val="24"/>
        </w:rPr>
        <w:t>草莓脱毒原原种苗制备技术规程</w:t>
      </w:r>
      <w:r>
        <w:rPr>
          <w:rFonts w:hint="eastAsia" w:ascii="仿宋" w:hAnsi="仿宋" w:eastAsia="仿宋" w:cs="仿宋"/>
          <w:sz w:val="24"/>
          <w:lang w:val="en-US" w:eastAsia="zh-CN"/>
        </w:rPr>
        <w:t>》标准修订工作组。原标准制定部分团队成员由于离职及工作调动原因，无法参与本次标准的修订工作。本着专业性、先进性的原则，我们召集了山西农业大学果树研究所及园艺学院从事草莓产业研究及推广的相关专家老师组建了新的标准修订工作组，负责本次标准修订的具体起草工作，工作组成员见表1。工作组由来自不同学科领域的专家组成，涵盖植物病理学、园艺学、病毒学等领域，通过多学科合作，可以充分发挥各自的专业优势，从不同角度对草莓脱毒原原种苗制备技术规程进行全面的指导和建议。</w:t>
      </w:r>
    </w:p>
    <w:p w14:paraId="1CB16865">
      <w:pPr>
        <w:spacing w:line="360" w:lineRule="auto"/>
        <w:ind w:firstLine="480" w:firstLineChars="200"/>
        <w:jc w:val="left"/>
        <w:outlineLvl w:val="1"/>
        <w:rPr>
          <w:rFonts w:eastAsia="楷体_GB2312"/>
          <w:sz w:val="24"/>
        </w:rPr>
      </w:pPr>
      <w:r>
        <w:rPr>
          <w:rFonts w:eastAsia="楷体_GB2312"/>
          <w:sz w:val="24"/>
        </w:rPr>
        <w:t>2调研考察</w:t>
      </w:r>
    </w:p>
    <w:p w14:paraId="21B0F5B0">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工作组成立之后，项目成员先后前往太原市小店区、运城市永济市、绛县、长治市沁源县、晋中市太谷区等草莓产区，山西巨鑫伟业农业科技开发有限公司、山西高地草莓育苗股份有限公司、沁源好乐草莓种植股份有限公司、太原市余美富农产品有限公司等草莓种植及育苗企业开展广泛调研，了解我省草莓脱毒原原种苗制备的现状和存在的问题，通过对已有研究成果和实践经验的总结和分析，确保起草工作的专业性和全面性。为起草工作提供了基础。</w:t>
      </w:r>
    </w:p>
    <w:p w14:paraId="20C065F4">
      <w:pPr>
        <w:spacing w:line="360" w:lineRule="auto"/>
        <w:ind w:firstLine="480" w:firstLineChars="200"/>
        <w:jc w:val="left"/>
        <w:outlineLvl w:val="1"/>
        <w:rPr>
          <w:rFonts w:eastAsia="楷体_GB2312"/>
          <w:sz w:val="24"/>
        </w:rPr>
      </w:pPr>
      <w:r>
        <w:rPr>
          <w:rFonts w:eastAsia="楷体_GB2312"/>
          <w:sz w:val="24"/>
        </w:rPr>
        <w:t>3收集资料</w:t>
      </w:r>
    </w:p>
    <w:p w14:paraId="5AEE930F">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工作组成员首先对GB/T 1.1-2020 《标准化工作导则 第1部分：标准化文件的结构和起草规则》进行了学习，为本规程的规范化写作奠定基础。其次是通过系统查阅了国家和行业脱毒育苗相关标准，并对NY/T 3032-2016进行深入学习，确保了技术规程的科学性、实用性和规范性。此外，在本次标准修订过程中，我们进行了广泛的文献查阅和研究，特别是针对草莓脱毒育苗相关内容，为标准的制定提供了重要参考。</w:t>
      </w:r>
    </w:p>
    <w:p w14:paraId="266BF4DF">
      <w:pPr>
        <w:spacing w:line="360" w:lineRule="auto"/>
        <w:ind w:firstLine="480" w:firstLineChars="200"/>
        <w:jc w:val="left"/>
        <w:outlineLvl w:val="1"/>
        <w:rPr>
          <w:rFonts w:eastAsia="楷体_GB2312"/>
          <w:sz w:val="24"/>
        </w:rPr>
      </w:pPr>
      <w:r>
        <w:rPr>
          <w:rFonts w:eastAsia="楷体_GB2312"/>
          <w:sz w:val="24"/>
        </w:rPr>
        <w:t>4修订文本</w:t>
      </w:r>
    </w:p>
    <w:p w14:paraId="1A9F5A2A">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2023年6月，工作组根据前期的调研和调查结果，结合实际操作经验，起草了《草莓脱毒原原种苗制备技术规程》的修订草案。工作组对草案进行了多次内部讨论和修改，对草案进行了进一步提升，确保草案的科学性、合理性和可操作性。9月底完成</w:t>
      </w:r>
      <w:bookmarkStart w:id="0" w:name="_GoBack"/>
      <w:bookmarkEnd w:id="0"/>
      <w:r>
        <w:rPr>
          <w:rFonts w:hint="eastAsia" w:ascii="仿宋" w:hAnsi="仿宋" w:eastAsia="仿宋" w:cs="仿宋"/>
          <w:sz w:val="24"/>
          <w:lang w:val="en-US" w:eastAsia="zh-CN"/>
        </w:rPr>
        <w:t>标准修订文本初稿。2023年10月，工作组将初稿发送给相关单位和专家，广泛征求了相关领域的意见和建议。他们的意见和建议为起草工作提供了宝贵的参考，确保了起草工作的专业性和全面性。2023年12月根据征求意见进行了认真研究和采纳修改。2024年1月标准起草工作组完成《草莓脱毒原原种苗制备技术规程》送审稿和编制说明。</w:t>
      </w:r>
    </w:p>
    <w:p w14:paraId="541D0ED3">
      <w:pPr>
        <w:spacing w:line="360" w:lineRule="auto"/>
        <w:ind w:firstLine="480" w:firstLineChars="200"/>
        <w:jc w:val="left"/>
        <w:outlineLvl w:val="1"/>
        <w:rPr>
          <w:rFonts w:hint="default" w:eastAsia="楷体_GB2312"/>
          <w:sz w:val="24"/>
          <w:lang w:val="en-US" w:eastAsia="zh-CN"/>
        </w:rPr>
      </w:pPr>
      <w:r>
        <w:rPr>
          <w:rFonts w:eastAsia="楷体_GB2312"/>
          <w:sz w:val="24"/>
        </w:rPr>
        <w:t>5</w:t>
      </w:r>
      <w:r>
        <w:rPr>
          <w:rFonts w:hint="eastAsia" w:eastAsia="楷体_GB2312"/>
          <w:sz w:val="24"/>
          <w:lang w:val="en-US" w:eastAsia="zh-CN"/>
        </w:rPr>
        <w:t>标准审查</w:t>
      </w:r>
    </w:p>
    <w:p w14:paraId="6430A2B1">
      <w:pPr>
        <w:spacing w:line="360" w:lineRule="auto"/>
        <w:ind w:firstLine="480" w:firstLineChars="200"/>
        <w:jc w:val="left"/>
        <w:outlineLvl w:val="1"/>
        <w:rPr>
          <w:rFonts w:hint="eastAsia" w:eastAsia="仿宋_GB2312"/>
          <w:bCs/>
          <w:sz w:val="24"/>
        </w:rPr>
      </w:pPr>
      <w:r>
        <w:rPr>
          <w:rFonts w:hint="eastAsia" w:eastAsia="仿宋_GB2312"/>
          <w:bCs/>
          <w:sz w:val="24"/>
        </w:rPr>
        <w:t>2024年4月20日，山西省市场监督管理局召集相关专家，对标准文本的技术要求进行了全面的审查和分析，并总结形成了标准</w:t>
      </w:r>
      <w:r>
        <w:rPr>
          <w:rFonts w:hint="eastAsia" w:eastAsia="仿宋_GB2312"/>
          <w:bCs/>
          <w:sz w:val="24"/>
          <w:lang w:val="en-US" w:eastAsia="zh-CN"/>
        </w:rPr>
        <w:t>审查</w:t>
      </w:r>
      <w:r>
        <w:rPr>
          <w:rFonts w:hint="eastAsia" w:eastAsia="仿宋_GB2312"/>
          <w:bCs/>
          <w:sz w:val="24"/>
        </w:rPr>
        <w:t>意见。</w:t>
      </w:r>
    </w:p>
    <w:p w14:paraId="3701EF9C">
      <w:pPr>
        <w:spacing w:line="360" w:lineRule="auto"/>
        <w:ind w:firstLine="480" w:firstLineChars="200"/>
        <w:jc w:val="left"/>
        <w:outlineLvl w:val="1"/>
        <w:rPr>
          <w:rFonts w:eastAsia="楷体_GB2312"/>
          <w:sz w:val="24"/>
        </w:rPr>
      </w:pPr>
      <w:r>
        <w:rPr>
          <w:rFonts w:eastAsia="楷体_GB2312"/>
          <w:sz w:val="24"/>
        </w:rPr>
        <w:t>6征求意见</w:t>
      </w:r>
    </w:p>
    <w:p w14:paraId="4153D032">
      <w:pPr>
        <w:spacing w:line="360" w:lineRule="auto"/>
        <w:ind w:firstLine="480" w:firstLineChars="200"/>
        <w:jc w:val="left"/>
        <w:outlineLvl w:val="1"/>
        <w:rPr>
          <w:rFonts w:eastAsia="仿宋_GB2312"/>
          <w:sz w:val="24"/>
        </w:rPr>
      </w:pPr>
      <w:r>
        <w:rPr>
          <w:rFonts w:eastAsia="仿宋_GB2312"/>
          <w:sz w:val="24"/>
        </w:rPr>
        <w:t>修订文本及编制说明于  年  月  日报省市场监督管理局挂网向社会公开征求意见</w:t>
      </w:r>
      <w:r>
        <w:rPr>
          <w:rFonts w:hint="eastAsia" w:eastAsia="仿宋_GB2312"/>
          <w:sz w:val="24"/>
          <w:lang w:val="en-US" w:eastAsia="zh-CN"/>
        </w:rPr>
        <w:t>30天</w:t>
      </w:r>
      <w:r>
        <w:rPr>
          <w:rFonts w:eastAsia="仿宋_GB2312"/>
          <w:sz w:val="24"/>
        </w:rPr>
        <w:t>，期间受到建议  条，工作组对收集的意见进行了分类、归纳，针对每一条意见及建议逐条进行了修改，采纳全部修改意见。</w:t>
      </w:r>
    </w:p>
    <w:p w14:paraId="3441DD3B">
      <w:pPr>
        <w:spacing w:line="360" w:lineRule="auto"/>
        <w:ind w:firstLine="480" w:firstLineChars="200"/>
        <w:jc w:val="left"/>
        <w:outlineLvl w:val="1"/>
        <w:rPr>
          <w:rFonts w:eastAsia="楷体_GB2312"/>
          <w:sz w:val="24"/>
        </w:rPr>
      </w:pPr>
      <w:r>
        <w:rPr>
          <w:rFonts w:eastAsia="楷体_GB2312"/>
          <w:sz w:val="24"/>
        </w:rPr>
        <w:t>7完善文本</w:t>
      </w:r>
    </w:p>
    <w:p w14:paraId="61C99DCB">
      <w:pPr>
        <w:spacing w:line="360" w:lineRule="auto"/>
        <w:ind w:firstLine="480" w:firstLineChars="200"/>
        <w:jc w:val="left"/>
        <w:outlineLvl w:val="1"/>
        <w:rPr>
          <w:rFonts w:eastAsia="仿宋_GB2312"/>
          <w:sz w:val="24"/>
        </w:rPr>
      </w:pPr>
      <w:r>
        <w:rPr>
          <w:rFonts w:eastAsia="仿宋_GB2312"/>
          <w:sz w:val="24"/>
        </w:rPr>
        <w:t>经进一步修改完善后形成标准送审稿，标委会表决同意修订稿发布。</w:t>
      </w:r>
    </w:p>
    <w:p w14:paraId="0293CA44">
      <w:pPr>
        <w:spacing w:line="360" w:lineRule="auto"/>
        <w:ind w:firstLine="480" w:firstLineChars="200"/>
        <w:jc w:val="left"/>
        <w:outlineLvl w:val="1"/>
        <w:rPr>
          <w:rFonts w:eastAsia="楷体_GB2312"/>
          <w:sz w:val="24"/>
        </w:rPr>
      </w:pPr>
      <w:r>
        <w:rPr>
          <w:rFonts w:eastAsia="楷体_GB2312"/>
          <w:sz w:val="24"/>
        </w:rPr>
        <w:t>8形成报批稿、提交报批材料</w:t>
      </w:r>
    </w:p>
    <w:p w14:paraId="3A7FF6DA">
      <w:pPr>
        <w:spacing w:line="360" w:lineRule="auto"/>
        <w:ind w:firstLine="480" w:firstLineChars="200"/>
        <w:jc w:val="left"/>
        <w:outlineLvl w:val="1"/>
        <w:rPr>
          <w:rFonts w:eastAsia="仿宋_GB2312"/>
          <w:sz w:val="24"/>
        </w:rPr>
      </w:pPr>
      <w:r>
        <w:rPr>
          <w:rFonts w:eastAsia="仿宋_GB2312"/>
          <w:sz w:val="24"/>
        </w:rPr>
        <w:t>年  月  日形成报批稿，向山西省农业标准化技术委员会提交了标准文本、编制说明、专家征求意见及评审委员会意见等报批材料。</w:t>
      </w:r>
    </w:p>
    <w:p w14:paraId="573BC16C">
      <w:pPr>
        <w:spacing w:line="360" w:lineRule="auto"/>
        <w:ind w:firstLine="480" w:firstLineChars="200"/>
        <w:outlineLvl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四、修订标准的原则和依据，与现行法律、法规、标准的关系</w:t>
      </w:r>
    </w:p>
    <w:p w14:paraId="164B001E">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工作组以GB/T1.1-2020《标准化工作导则 第1部分：标准化文件的结构和起草规则》为编写原则，按照山西省市场监督管理局的统一要求，参考国内相关标准和规范，结合行业实际情况，起草了本标准。修订标准的主要原则和依据如下：</w:t>
      </w:r>
    </w:p>
    <w:p w14:paraId="002E00D8">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科学性原则：参照NY/T 3032-2016 草莓脱毒种苗生产技术规程和山西农业大学果树研究所草莓科研团队多年实践经验及科研成果制定。以科学理论和实践经验为基础，确保标准的内容准确、可靠、具有科学性。</w:t>
      </w:r>
    </w:p>
    <w:p w14:paraId="2BFA11D9">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适应性原则：修订过程中，我们坚持适用性原则，确保标准中的每一项技术要求都源于实际的试验数据和生产实践的深厚积累。标准详细描述了各种草莓脱毒技术和原原种苗制备方法，不仅具有高度的可操作性，而且紧密结合了最新的科研成果和实践经验。结合实际生产需求，使标准具有可操作性和实用性，能够指导实际操作。</w:t>
      </w:r>
    </w:p>
    <w:p w14:paraId="507D5C6A">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先进性原则：紧跟国内草莓脱毒领域的技术创新发展，及时吸收和采纳行业内先进、高效的技术及方法，以确保标准的前瞻性和引导性。</w:t>
      </w:r>
    </w:p>
    <w:p w14:paraId="5F59F482">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协调性原则：起草过程中参考了现行的相关标准，如GB/T 3543.1-1995 农作物种子检验规程 总则、NY/T 2678-2015 马铃薯6种病毒的检测 RT-PCR法、</w:t>
      </w:r>
      <w:r>
        <w:rPr>
          <w:rFonts w:hint="eastAsia" w:ascii="仿宋" w:hAnsi="仿宋" w:eastAsia="仿宋" w:cs="仿宋"/>
          <w:bCs/>
          <w:sz w:val="24"/>
        </w:rPr>
        <w:t>NY/T 3032-2016 草莓脱毒种苗生产技术规程</w:t>
      </w:r>
      <w:r>
        <w:rPr>
          <w:rFonts w:hint="eastAsia" w:ascii="仿宋" w:hAnsi="仿宋" w:eastAsia="仿宋" w:cs="仿宋"/>
          <w:sz w:val="24"/>
          <w:lang w:val="en-US" w:eastAsia="zh-CN"/>
        </w:rPr>
        <w:t>等，保证与现行脱毒种苗生产相关标准保持协调一致，避免冲突和重复。</w:t>
      </w:r>
    </w:p>
    <w:p w14:paraId="7DA521BB">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合法性原则：本标准的修订遵循现行法律、法规的相关规定，如《种子法》、《植物检疫条例》等，引用了现行的国家行业标准，确保内容与现行法律、法规及强制性标准不存在矛盾。</w:t>
      </w:r>
    </w:p>
    <w:p w14:paraId="1D9C0FDA">
      <w:pPr>
        <w:spacing w:line="360" w:lineRule="auto"/>
        <w:ind w:firstLine="480" w:firstLineChars="200"/>
        <w:outlineLvl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五、主要条款的说明，主要技术指标、参数、试验验证的分析、综合论述</w:t>
      </w:r>
    </w:p>
    <w:p w14:paraId="57F14641">
      <w:pPr>
        <w:spacing w:line="360" w:lineRule="auto"/>
        <w:ind w:firstLine="480" w:firstLineChars="200"/>
        <w:rPr>
          <w:rFonts w:hint="eastAsia" w:ascii="仿宋" w:hAnsi="仿宋" w:eastAsia="仿宋" w:cs="仿宋"/>
          <w:bCs/>
          <w:sz w:val="24"/>
          <w:lang w:val="en-US" w:eastAsia="zh-CN"/>
        </w:rPr>
      </w:pPr>
      <w:r>
        <w:rPr>
          <w:rFonts w:hint="eastAsia" w:ascii="仿宋" w:hAnsi="仿宋" w:eastAsia="仿宋" w:cs="仿宋"/>
          <w:bCs/>
          <w:sz w:val="24"/>
        </w:rPr>
        <w:t>标准起草</w:t>
      </w:r>
      <w:r>
        <w:rPr>
          <w:rFonts w:hint="eastAsia" w:ascii="仿宋" w:hAnsi="仿宋" w:eastAsia="仿宋" w:cs="仿宋"/>
          <w:bCs/>
          <w:sz w:val="24"/>
          <w:lang w:val="en-US" w:eastAsia="zh-CN"/>
        </w:rPr>
        <w:t>工作</w:t>
      </w:r>
      <w:r>
        <w:rPr>
          <w:rFonts w:hint="eastAsia" w:ascii="仿宋" w:hAnsi="仿宋" w:eastAsia="仿宋" w:cs="仿宋"/>
          <w:bCs/>
          <w:sz w:val="24"/>
        </w:rPr>
        <w:t>组以“合法性、安全性、适应性、协调性和先进性”为修订原则，以文本结构更加清晰、内容更加完善、技术要求更加精确为修订目标，对《草莓脱毒原原种苗制备技术规程》进行了全面的修订。</w:t>
      </w:r>
      <w:r>
        <w:rPr>
          <w:rFonts w:hint="eastAsia" w:ascii="仿宋" w:hAnsi="仿宋" w:eastAsia="仿宋" w:cs="仿宋"/>
          <w:bCs/>
          <w:sz w:val="24"/>
          <w:lang w:val="en-US" w:eastAsia="zh-CN"/>
        </w:rPr>
        <w:t>主要修订内容包括以下两个方面：</w:t>
      </w:r>
    </w:p>
    <w:p w14:paraId="6C3D83E1">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1、涉及结构性调整的主要有</w:t>
      </w:r>
      <w:r>
        <w:rPr>
          <w:rFonts w:hint="eastAsia" w:ascii="仿宋" w:hAnsi="仿宋" w:eastAsia="仿宋" w:cs="仿宋"/>
          <w:bCs/>
          <w:sz w:val="24"/>
          <w:lang w:val="en-US" w:eastAsia="zh-CN"/>
        </w:rPr>
        <w:t>1</w:t>
      </w:r>
      <w:r>
        <w:rPr>
          <w:rFonts w:hint="eastAsia" w:ascii="仿宋" w:hAnsi="仿宋" w:eastAsia="仿宋" w:cs="仿宋"/>
          <w:bCs/>
          <w:sz w:val="24"/>
        </w:rPr>
        <w:t>项：增加了脱毒原原种苗的保存（9.3.3）。</w:t>
      </w:r>
    </w:p>
    <w:p w14:paraId="37726FA1">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修订原因：原标准中未涉及脱毒原原种苗的保存相关内容，但无病毒草莓植株并不具有额外的抗病能力，反而存在被病毒重新感染的潜在风险。因此，一旦培育出无病毒的苗木，就应采取有效的隔离和保护措施。</w:t>
      </w:r>
      <w:r>
        <w:rPr>
          <w:rFonts w:hint="eastAsia" w:ascii="仿宋" w:hAnsi="仿宋" w:eastAsia="仿宋" w:cs="仿宋"/>
          <w:bCs/>
          <w:sz w:val="24"/>
          <w:lang w:val="en-US" w:eastAsia="zh-CN"/>
        </w:rPr>
        <w:t>通过走访调研及征求意见，发现原标准执行过程中，一些单位忽视了</w:t>
      </w:r>
      <w:r>
        <w:rPr>
          <w:rFonts w:hint="eastAsia" w:ascii="仿宋" w:hAnsi="仿宋" w:eastAsia="仿宋" w:cs="仿宋"/>
          <w:bCs/>
          <w:sz w:val="24"/>
        </w:rPr>
        <w:t>脱毒原原种苗的保存</w:t>
      </w:r>
      <w:r>
        <w:rPr>
          <w:rFonts w:hint="eastAsia" w:ascii="仿宋" w:hAnsi="仿宋" w:eastAsia="仿宋" w:cs="仿宋"/>
          <w:bCs/>
          <w:sz w:val="24"/>
          <w:lang w:val="en-US" w:eastAsia="zh-CN"/>
        </w:rPr>
        <w:t>环境，并未采取有效的隔离措施。因此有必要对草莓脱毒原原种苗的保存条件进行必要的限定及规范</w:t>
      </w:r>
      <w:r>
        <w:rPr>
          <w:rFonts w:hint="eastAsia" w:ascii="仿宋" w:hAnsi="仿宋" w:eastAsia="仿宋" w:cs="仿宋"/>
          <w:bCs/>
          <w:sz w:val="24"/>
        </w:rPr>
        <w:t>，以确保</w:t>
      </w:r>
      <w:r>
        <w:rPr>
          <w:rFonts w:hint="eastAsia" w:ascii="仿宋" w:hAnsi="仿宋" w:eastAsia="仿宋" w:cs="仿宋"/>
          <w:bCs/>
          <w:sz w:val="24"/>
          <w:lang w:val="en-US" w:eastAsia="zh-CN"/>
        </w:rPr>
        <w:t>脱毒</w:t>
      </w:r>
      <w:r>
        <w:rPr>
          <w:rFonts w:hint="eastAsia" w:ascii="仿宋" w:hAnsi="仿宋" w:eastAsia="仿宋" w:cs="仿宋"/>
          <w:bCs/>
          <w:sz w:val="24"/>
        </w:rPr>
        <w:t>植株在与病毒严格隔离的条件下健康生长。</w:t>
      </w:r>
    </w:p>
    <w:p w14:paraId="1FC25DF2">
      <w:pPr>
        <w:spacing w:line="360" w:lineRule="auto"/>
        <w:ind w:firstLine="480" w:firstLineChars="200"/>
        <w:rPr>
          <w:rFonts w:hint="eastAsia" w:ascii="仿宋" w:hAnsi="仿宋" w:eastAsia="仿宋" w:cs="仿宋"/>
          <w:bCs/>
          <w:sz w:val="24"/>
          <w:lang w:eastAsia="zh-CN"/>
        </w:rPr>
      </w:pPr>
      <w:r>
        <w:rPr>
          <w:rFonts w:hint="eastAsia" w:ascii="仿宋" w:hAnsi="仿宋" w:eastAsia="仿宋" w:cs="仿宋"/>
          <w:bCs/>
          <w:sz w:val="24"/>
          <w:lang w:val="en-US" w:eastAsia="zh-CN"/>
        </w:rPr>
        <w:t>2</w:t>
      </w:r>
      <w:r>
        <w:rPr>
          <w:rFonts w:hint="eastAsia" w:ascii="仿宋" w:hAnsi="仿宋" w:eastAsia="仿宋" w:cs="仿宋"/>
          <w:bCs/>
          <w:sz w:val="24"/>
        </w:rPr>
        <w:t>、涉及</w:t>
      </w:r>
      <w:r>
        <w:rPr>
          <w:rFonts w:hint="eastAsia" w:ascii="仿宋" w:hAnsi="仿宋" w:eastAsia="仿宋" w:cs="仿宋"/>
          <w:bCs/>
          <w:sz w:val="24"/>
          <w:lang w:val="en-US" w:eastAsia="zh-CN"/>
        </w:rPr>
        <w:t>技术</w:t>
      </w:r>
      <w:r>
        <w:rPr>
          <w:rFonts w:hint="eastAsia" w:ascii="仿宋" w:hAnsi="仿宋" w:eastAsia="仿宋" w:cs="仿宋"/>
          <w:bCs/>
          <w:sz w:val="24"/>
        </w:rPr>
        <w:t>性调整</w:t>
      </w:r>
      <w:r>
        <w:rPr>
          <w:rFonts w:hint="eastAsia" w:ascii="仿宋" w:hAnsi="仿宋" w:eastAsia="仿宋" w:cs="仿宋"/>
          <w:bCs/>
          <w:sz w:val="24"/>
          <w:lang w:val="en-US" w:eastAsia="zh-CN"/>
        </w:rPr>
        <w:t>1</w:t>
      </w:r>
      <w:r>
        <w:rPr>
          <w:rFonts w:hint="eastAsia" w:ascii="仿宋" w:hAnsi="仿宋" w:eastAsia="仿宋" w:cs="仿宋"/>
          <w:bCs/>
          <w:sz w:val="24"/>
        </w:rPr>
        <w:t>项：更改了病毒检测方法（5.2）</w:t>
      </w:r>
      <w:r>
        <w:rPr>
          <w:rFonts w:hint="eastAsia" w:ascii="仿宋" w:hAnsi="仿宋" w:eastAsia="仿宋" w:cs="仿宋"/>
          <w:bCs/>
          <w:sz w:val="24"/>
          <w:lang w:eastAsia="zh-CN"/>
        </w:rPr>
        <w:t>。</w:t>
      </w:r>
    </w:p>
    <w:p w14:paraId="0C42C84D">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修订原因：</w:t>
      </w:r>
      <w:r>
        <w:rPr>
          <w:rFonts w:hint="eastAsia" w:ascii="仿宋" w:hAnsi="仿宋" w:eastAsia="仿宋" w:cs="仿宋"/>
          <w:bCs/>
          <w:sz w:val="24"/>
          <w:lang w:val="en-US" w:eastAsia="zh-CN"/>
        </w:rPr>
        <w:t>原标准中参照</w:t>
      </w:r>
      <w:r>
        <w:rPr>
          <w:rFonts w:hint="eastAsia" w:ascii="仿宋" w:hAnsi="仿宋" w:eastAsia="仿宋" w:cs="仿宋"/>
          <w:bCs/>
          <w:sz w:val="24"/>
        </w:rPr>
        <w:t>NY/T 406-2000</w:t>
      </w:r>
      <w:r>
        <w:rPr>
          <w:rFonts w:hint="eastAsia" w:ascii="仿宋" w:hAnsi="仿宋" w:eastAsia="仿宋" w:cs="仿宋"/>
          <w:bCs/>
          <w:sz w:val="24"/>
          <w:lang w:val="en-US" w:eastAsia="zh-CN"/>
        </w:rPr>
        <w:t xml:space="preserve"> </w:t>
      </w:r>
      <w:r>
        <w:rPr>
          <w:rFonts w:hint="eastAsia" w:ascii="仿宋" w:hAnsi="仿宋" w:eastAsia="仿宋" w:cs="仿宋"/>
          <w:bCs/>
          <w:sz w:val="24"/>
        </w:rPr>
        <w:t>脱毒草莓种苗病毒检测技术规程</w:t>
      </w:r>
      <w:r>
        <w:rPr>
          <w:rFonts w:hint="eastAsia" w:ascii="仿宋" w:hAnsi="仿宋" w:eastAsia="仿宋" w:cs="仿宋"/>
          <w:bCs/>
          <w:sz w:val="24"/>
          <w:lang w:val="en-US" w:eastAsia="zh-CN"/>
        </w:rPr>
        <w:t>中</w:t>
      </w:r>
      <w:r>
        <w:rPr>
          <w:rFonts w:hint="eastAsia" w:ascii="仿宋" w:hAnsi="仿宋" w:eastAsia="仿宋" w:cs="仿宋"/>
          <w:bCs/>
          <w:sz w:val="24"/>
        </w:rPr>
        <w:t>指示植物法</w:t>
      </w:r>
      <w:r>
        <w:rPr>
          <w:rFonts w:hint="eastAsia" w:ascii="仿宋" w:hAnsi="仿宋" w:eastAsia="仿宋" w:cs="仿宋"/>
          <w:bCs/>
          <w:sz w:val="24"/>
          <w:lang w:val="en-US" w:eastAsia="zh-CN"/>
        </w:rPr>
        <w:t>进行脱毒原原种苗的病毒检测。该方法为</w:t>
      </w:r>
      <w:r>
        <w:rPr>
          <w:rFonts w:hint="eastAsia" w:ascii="仿宋" w:hAnsi="仿宋" w:eastAsia="仿宋" w:cs="仿宋"/>
          <w:bCs/>
          <w:sz w:val="24"/>
        </w:rPr>
        <w:t>传统的病毒检测方法，虽然对确定病毒的侵染性和实用性有重要意义，但总共需要较长时间，有时还需反复验证，且在检测环境条件不能保证时，容易造成检测结果不准确。因此，采用新的检测方法，如NY/T 3032-2016 草莓脱毒种苗生产技术规程</w:t>
      </w:r>
      <w:r>
        <w:rPr>
          <w:rFonts w:hint="eastAsia" w:ascii="仿宋" w:hAnsi="仿宋" w:eastAsia="仿宋" w:cs="仿宋"/>
          <w:bCs/>
          <w:sz w:val="24"/>
          <w:lang w:val="en-US" w:eastAsia="zh-CN"/>
        </w:rPr>
        <w:t>中所采用的</w:t>
      </w:r>
      <w:r>
        <w:rPr>
          <w:rFonts w:hint="eastAsia" w:ascii="仿宋" w:hAnsi="仿宋" w:eastAsia="仿宋" w:cs="仿宋"/>
          <w:bCs/>
          <w:sz w:val="24"/>
        </w:rPr>
        <w:t>分子生物学检测法，可以大大提高检测效率和准确性。随着科技的不断进步，新的病毒检测方法不断涌现和完善。这些新方法在检测病毒的灵敏度、特异性反应及检测速度等方面都表现出显著的优势。因此，在规程中引入这些新方法，可以更好地适应技术发展的趋势。</w:t>
      </w:r>
      <w:r>
        <w:rPr>
          <w:rFonts w:hint="eastAsia" w:ascii="仿宋" w:hAnsi="仿宋" w:eastAsia="仿宋" w:cs="仿宋"/>
          <w:bCs/>
          <w:sz w:val="24"/>
          <w:lang w:val="en-US" w:eastAsia="zh-CN"/>
        </w:rPr>
        <w:t>此外，</w:t>
      </w:r>
      <w:r>
        <w:rPr>
          <w:rFonts w:hint="eastAsia" w:ascii="仿宋" w:hAnsi="仿宋" w:eastAsia="仿宋" w:cs="仿宋"/>
          <w:bCs/>
          <w:sz w:val="24"/>
        </w:rPr>
        <w:t>采用新的</w:t>
      </w:r>
      <w:r>
        <w:rPr>
          <w:rFonts w:hint="eastAsia" w:ascii="仿宋" w:hAnsi="仿宋" w:eastAsia="仿宋" w:cs="仿宋"/>
          <w:bCs/>
          <w:sz w:val="24"/>
          <w:lang w:val="en-US" w:eastAsia="zh-CN"/>
        </w:rPr>
        <w:t>分子检测手段</w:t>
      </w:r>
      <w:r>
        <w:rPr>
          <w:rFonts w:hint="eastAsia" w:ascii="仿宋" w:hAnsi="仿宋" w:eastAsia="仿宋" w:cs="仿宋"/>
          <w:bCs/>
          <w:sz w:val="24"/>
        </w:rPr>
        <w:t>可以更好地适应大规模生产的需要，提高生产效率，降低生产成本，同时保证草莓种苗的质量和安全性。综上所述，在</w:t>
      </w:r>
      <w:r>
        <w:rPr>
          <w:rFonts w:hint="eastAsia" w:ascii="仿宋" w:hAnsi="仿宋" w:eastAsia="仿宋" w:cs="仿宋"/>
          <w:bCs/>
          <w:sz w:val="24"/>
          <w:lang w:val="en-US" w:eastAsia="zh-CN"/>
        </w:rPr>
        <w:t>本标准</w:t>
      </w:r>
      <w:r>
        <w:rPr>
          <w:rFonts w:hint="eastAsia" w:ascii="仿宋" w:hAnsi="仿宋" w:eastAsia="仿宋" w:cs="仿宋"/>
          <w:bCs/>
          <w:sz w:val="24"/>
        </w:rPr>
        <w:t>修订过程中更改病毒检测方法的原因主要是为了提高检测效率和准确性、克服传统方法的局限性、适应技术进步和更新的需要以及满足生产实际需求。</w:t>
      </w:r>
    </w:p>
    <w:p w14:paraId="1DF28F00">
      <w:pPr>
        <w:numPr>
          <w:ilvl w:val="0"/>
          <w:numId w:val="2"/>
        </w:numPr>
        <w:spacing w:line="360" w:lineRule="auto"/>
        <w:ind w:firstLine="480" w:firstLineChars="200"/>
        <w:outlineLvl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重大意见分歧的处理依据和结果</w:t>
      </w:r>
    </w:p>
    <w:p w14:paraId="79269C52">
      <w:pPr>
        <w:spacing w:line="360" w:lineRule="auto"/>
        <w:ind w:firstLine="480" w:firstLineChars="200"/>
        <w:jc w:val="left"/>
        <w:rPr>
          <w:rFonts w:hint="eastAsia" w:ascii="仿宋" w:hAnsi="仿宋" w:eastAsia="仿宋" w:cs="仿宋"/>
          <w:sz w:val="24"/>
          <w:lang w:val="en-US" w:eastAsia="zh-CN"/>
        </w:rPr>
      </w:pPr>
      <w:r>
        <w:rPr>
          <w:rFonts w:hint="eastAsia" w:ascii="仿宋" w:hAnsi="仿宋" w:eastAsia="仿宋" w:cs="仿宋"/>
          <w:color w:val="000000"/>
          <w:sz w:val="24"/>
          <w:lang w:val="en-US" w:eastAsia="zh-CN"/>
        </w:rPr>
        <w:t>工作</w:t>
      </w:r>
      <w:r>
        <w:rPr>
          <w:rFonts w:hint="eastAsia" w:ascii="仿宋" w:hAnsi="仿宋" w:eastAsia="仿宋" w:cs="仿宋"/>
          <w:color w:val="000000"/>
          <w:sz w:val="24"/>
        </w:rPr>
        <w:t>组在修订本标准过程中，向</w:t>
      </w:r>
      <w:r>
        <w:rPr>
          <w:rFonts w:hint="eastAsia" w:ascii="仿宋" w:hAnsi="仿宋" w:eastAsia="仿宋" w:cs="仿宋"/>
          <w:color w:val="000000"/>
          <w:sz w:val="24"/>
          <w:lang w:val="en-US" w:eastAsia="zh-CN"/>
        </w:rPr>
        <w:t>山西巨鑫伟业农业科技开发有限公司</w:t>
      </w:r>
      <w:r>
        <w:rPr>
          <w:rFonts w:hint="eastAsia" w:ascii="仿宋" w:hAnsi="仿宋" w:eastAsia="仿宋" w:cs="仿宋"/>
          <w:color w:val="000000"/>
          <w:sz w:val="24"/>
        </w:rPr>
        <w:t>、</w:t>
      </w:r>
      <w:r>
        <w:rPr>
          <w:rFonts w:hint="eastAsia" w:ascii="仿宋" w:hAnsi="仿宋" w:eastAsia="仿宋" w:cs="仿宋"/>
          <w:color w:val="000000"/>
          <w:sz w:val="24"/>
          <w:lang w:val="en-US" w:eastAsia="zh-CN"/>
        </w:rPr>
        <w:t>太谷区</w:t>
      </w:r>
      <w:r>
        <w:rPr>
          <w:rFonts w:hint="eastAsia" w:ascii="仿宋" w:hAnsi="仿宋" w:eastAsia="仿宋" w:cs="仿宋"/>
          <w:color w:val="000000"/>
          <w:sz w:val="24"/>
        </w:rPr>
        <w:t>政芳草莓专业合作社、</w:t>
      </w:r>
      <w:r>
        <w:rPr>
          <w:rFonts w:hint="eastAsia" w:ascii="仿宋" w:hAnsi="仿宋" w:eastAsia="仿宋" w:cs="仿宋"/>
          <w:color w:val="000000"/>
          <w:sz w:val="24"/>
          <w:lang w:val="en-US" w:eastAsia="zh-CN"/>
        </w:rPr>
        <w:t>陵川县</w:t>
      </w:r>
      <w:r>
        <w:rPr>
          <w:rFonts w:hint="eastAsia" w:ascii="仿宋" w:hAnsi="仿宋" w:eastAsia="仿宋" w:cs="仿宋"/>
          <w:color w:val="000000"/>
          <w:sz w:val="24"/>
        </w:rPr>
        <w:t>上郊蔬菜专业合作社、永济市润田草莓种植专业合作社</w:t>
      </w:r>
      <w:r>
        <w:rPr>
          <w:rFonts w:hint="eastAsia" w:ascii="仿宋" w:hAnsi="仿宋" w:eastAsia="仿宋" w:cs="仿宋"/>
          <w:color w:val="000000"/>
          <w:sz w:val="24"/>
          <w:lang w:eastAsia="zh-CN"/>
        </w:rPr>
        <w:t>、</w:t>
      </w:r>
      <w:r>
        <w:rPr>
          <w:rFonts w:hint="eastAsia" w:ascii="仿宋" w:hAnsi="仿宋" w:eastAsia="仿宋" w:cs="仿宋"/>
          <w:color w:val="000000"/>
          <w:sz w:val="24"/>
        </w:rPr>
        <w:t>山西农业大学等</w:t>
      </w:r>
      <w:r>
        <w:rPr>
          <w:rFonts w:hint="eastAsia" w:ascii="仿宋" w:hAnsi="仿宋" w:eastAsia="仿宋" w:cs="仿宋"/>
          <w:color w:val="000000"/>
          <w:sz w:val="24"/>
          <w:lang w:val="en-US" w:eastAsia="zh-CN"/>
        </w:rPr>
        <w:t>单位</w:t>
      </w:r>
      <w:r>
        <w:rPr>
          <w:rFonts w:hint="eastAsia" w:ascii="仿宋" w:hAnsi="仿宋" w:eastAsia="仿宋" w:cs="仿宋"/>
          <w:color w:val="000000"/>
          <w:sz w:val="24"/>
        </w:rPr>
        <w:t>征求意见，共收到反馈意见5份，修改意见全部采纳。征求意见汇总处理表见附表。</w:t>
      </w:r>
      <w:r>
        <w:rPr>
          <w:rFonts w:hint="eastAsia" w:ascii="仿宋" w:hAnsi="仿宋" w:eastAsia="仿宋" w:cs="仿宋"/>
          <w:bCs/>
          <w:sz w:val="24"/>
        </w:rPr>
        <w:t>标准修订过程中无重大意见分歧</w:t>
      </w:r>
      <w:r>
        <w:rPr>
          <w:rFonts w:hint="eastAsia" w:ascii="仿宋" w:hAnsi="仿宋" w:eastAsia="仿宋" w:cs="仿宋"/>
          <w:sz w:val="24"/>
          <w:lang w:val="en-US" w:eastAsia="zh-CN"/>
        </w:rPr>
        <w:t>。</w:t>
      </w:r>
    </w:p>
    <w:p w14:paraId="61F8633C">
      <w:pPr>
        <w:spacing w:line="540" w:lineRule="exact"/>
        <w:ind w:firstLine="480" w:firstLineChars="200"/>
        <w:rPr>
          <w:rFonts w:hint="eastAsia" w:ascii="仿宋" w:hAnsi="仿宋" w:eastAsia="仿宋" w:cs="仿宋"/>
          <w:b/>
          <w:snapToGrid w:val="0"/>
          <w:color w:val="000000"/>
          <w:kern w:val="0"/>
          <w:sz w:val="32"/>
          <w:szCs w:val="32"/>
          <w:lang w:val="en-US" w:eastAsia="zh-CN"/>
        </w:rPr>
      </w:pPr>
      <w:r>
        <w:rPr>
          <w:rFonts w:hint="eastAsia" w:ascii="仿宋" w:hAnsi="仿宋" w:eastAsia="仿宋" w:cs="仿宋"/>
          <w:sz w:val="24"/>
          <w:szCs w:val="24"/>
          <w:lang w:val="en-US" w:eastAsia="zh-CN"/>
        </w:rPr>
        <w:t>七、采标情况，是否合规引用或采用国际标准和国外先进标准，以及与国内外同类标准水平的对比情况</w:t>
      </w:r>
    </w:p>
    <w:p w14:paraId="1BA33AAD">
      <w:pPr>
        <w:spacing w:line="400" w:lineRule="exact"/>
        <w:ind w:firstLine="480" w:firstLineChars="200"/>
        <w:rPr>
          <w:rFonts w:hint="eastAsia" w:ascii="仿宋" w:hAnsi="仿宋" w:eastAsia="仿宋" w:cs="仿宋"/>
          <w:bCs/>
          <w:sz w:val="24"/>
          <w:lang w:eastAsia="zh-CN"/>
        </w:rPr>
      </w:pPr>
      <w:r>
        <w:rPr>
          <w:rFonts w:hint="eastAsia" w:ascii="仿宋" w:hAnsi="仿宋" w:eastAsia="仿宋" w:cs="仿宋"/>
          <w:bCs/>
          <w:sz w:val="24"/>
        </w:rPr>
        <w:t>本标准严格遵循国家标准、行业标准在</w:t>
      </w:r>
      <w:r>
        <w:rPr>
          <w:rFonts w:hint="eastAsia" w:ascii="仿宋" w:hAnsi="仿宋" w:eastAsia="仿宋" w:cs="仿宋"/>
          <w:bCs/>
          <w:sz w:val="24"/>
          <w:lang w:val="en-US" w:eastAsia="zh-CN"/>
        </w:rPr>
        <w:t>脱毒原原种苗制备</w:t>
      </w:r>
      <w:r>
        <w:rPr>
          <w:rFonts w:hint="eastAsia" w:ascii="仿宋" w:hAnsi="仿宋" w:eastAsia="仿宋" w:cs="仿宋"/>
          <w:bCs/>
          <w:sz w:val="24"/>
        </w:rPr>
        <w:t>方面的相关规定，同时借鉴了GB/T 29376-2012 马铃薯脱毒原原种繁育技术规程、NY/T 3032-2016 草莓脱毒种苗生产技术规程等规程中的部分经验</w:t>
      </w:r>
      <w:r>
        <w:rPr>
          <w:rFonts w:hint="eastAsia" w:ascii="仿宋" w:hAnsi="仿宋" w:eastAsia="仿宋" w:cs="仿宋"/>
          <w:bCs/>
          <w:sz w:val="24"/>
          <w:lang w:eastAsia="zh-CN"/>
        </w:rPr>
        <w:t>，</w:t>
      </w:r>
      <w:r>
        <w:rPr>
          <w:rFonts w:hint="eastAsia" w:ascii="仿宋" w:hAnsi="仿宋" w:eastAsia="仿宋" w:cs="仿宋"/>
          <w:bCs/>
          <w:sz w:val="24"/>
        </w:rPr>
        <w:t>其中的技术和管理经验对草莓脱毒原原种苗的制备具有指导意义。与现行的国</w:t>
      </w:r>
      <w:r>
        <w:rPr>
          <w:rFonts w:hint="eastAsia" w:ascii="仿宋" w:hAnsi="仿宋" w:eastAsia="仿宋" w:cs="仿宋"/>
          <w:bCs/>
          <w:sz w:val="24"/>
          <w:lang w:val="en-US" w:eastAsia="zh-CN"/>
        </w:rPr>
        <w:t>内相关标准</w:t>
      </w:r>
      <w:r>
        <w:rPr>
          <w:rFonts w:hint="eastAsia" w:ascii="仿宋" w:hAnsi="仿宋" w:eastAsia="仿宋" w:cs="仿宋"/>
          <w:bCs/>
          <w:sz w:val="24"/>
        </w:rPr>
        <w:t>相比较，本</w:t>
      </w:r>
      <w:r>
        <w:rPr>
          <w:rFonts w:hint="eastAsia" w:ascii="仿宋" w:hAnsi="仿宋" w:eastAsia="仿宋" w:cs="仿宋"/>
          <w:bCs/>
          <w:sz w:val="24"/>
          <w:lang w:val="en-US" w:eastAsia="zh-CN"/>
        </w:rPr>
        <w:t>标准</w:t>
      </w:r>
      <w:r>
        <w:rPr>
          <w:rFonts w:hint="eastAsia" w:ascii="仿宋" w:hAnsi="仿宋" w:eastAsia="仿宋" w:cs="仿宋"/>
          <w:bCs/>
          <w:sz w:val="24"/>
        </w:rPr>
        <w:t>突出了以下内容</w:t>
      </w:r>
      <w:r>
        <w:rPr>
          <w:rFonts w:hint="eastAsia" w:ascii="仿宋" w:hAnsi="仿宋" w:eastAsia="仿宋" w:cs="仿宋"/>
          <w:bCs/>
          <w:sz w:val="24"/>
          <w:lang w:eastAsia="zh-CN"/>
        </w:rPr>
        <w:t>：</w:t>
      </w:r>
    </w:p>
    <w:p w14:paraId="01ACA5F1">
      <w:pPr>
        <w:spacing w:line="400" w:lineRule="exact"/>
        <w:ind w:firstLine="480" w:firstLineChars="200"/>
        <w:rPr>
          <w:rFonts w:hint="eastAsia" w:ascii="仿宋" w:hAnsi="仿宋" w:eastAsia="仿宋" w:cs="仿宋"/>
          <w:bCs/>
          <w:sz w:val="24"/>
        </w:rPr>
      </w:pPr>
      <w:r>
        <w:rPr>
          <w:rFonts w:hint="eastAsia" w:ascii="仿宋" w:hAnsi="仿宋" w:eastAsia="仿宋" w:cs="仿宋"/>
          <w:bCs/>
          <w:sz w:val="24"/>
        </w:rPr>
        <w:t>本标准立足山西</w:t>
      </w:r>
      <w:r>
        <w:rPr>
          <w:rFonts w:hint="eastAsia" w:ascii="仿宋" w:hAnsi="仿宋" w:eastAsia="仿宋" w:cs="仿宋"/>
          <w:bCs/>
          <w:sz w:val="24"/>
          <w:lang w:val="en-US" w:eastAsia="zh-CN"/>
        </w:rPr>
        <w:t>省草莓脱毒原原种苗生产及草莓产业提质增效</w:t>
      </w:r>
      <w:r>
        <w:rPr>
          <w:rFonts w:hint="eastAsia" w:ascii="仿宋" w:hAnsi="仿宋" w:eastAsia="仿宋" w:cs="仿宋"/>
          <w:bCs/>
          <w:sz w:val="24"/>
        </w:rPr>
        <w:t>，针对原标准</w:t>
      </w:r>
      <w:r>
        <w:rPr>
          <w:rFonts w:hint="eastAsia" w:ascii="仿宋" w:hAnsi="仿宋" w:eastAsia="仿宋" w:cs="仿宋"/>
          <w:bCs/>
          <w:sz w:val="24"/>
          <w:lang w:val="en-US" w:eastAsia="zh-CN"/>
        </w:rPr>
        <w:t>病毒检测技术效率低及实际应用中脱毒原原种苗保藏方法不完善等问题进行</w:t>
      </w:r>
      <w:r>
        <w:rPr>
          <w:rFonts w:hint="eastAsia" w:ascii="仿宋" w:hAnsi="仿宋" w:eastAsia="仿宋" w:cs="仿宋"/>
          <w:bCs/>
          <w:sz w:val="24"/>
        </w:rPr>
        <w:t>重新修订，</w:t>
      </w:r>
      <w:r>
        <w:rPr>
          <w:rFonts w:hint="eastAsia" w:ascii="仿宋" w:hAnsi="仿宋" w:eastAsia="仿宋" w:cs="仿宋"/>
          <w:bCs/>
          <w:sz w:val="24"/>
          <w:lang w:val="en-US" w:eastAsia="zh-CN"/>
        </w:rPr>
        <w:t>同时本标准</w:t>
      </w:r>
      <w:r>
        <w:rPr>
          <w:rFonts w:hint="eastAsia" w:ascii="仿宋" w:hAnsi="仿宋" w:eastAsia="仿宋" w:cs="仿宋"/>
          <w:bCs/>
          <w:sz w:val="24"/>
        </w:rPr>
        <w:t>在脱毒技术、种苗培育、病毒检测、种苗质量以及安全性与可追溯性等方面都进行了更为深入和具体的规定，旨在为</w:t>
      </w:r>
      <w:r>
        <w:rPr>
          <w:rFonts w:hint="eastAsia" w:ascii="仿宋" w:hAnsi="仿宋" w:eastAsia="仿宋" w:cs="仿宋"/>
          <w:bCs/>
          <w:sz w:val="24"/>
          <w:lang w:val="en-US" w:eastAsia="zh-CN"/>
        </w:rPr>
        <w:t>我省</w:t>
      </w:r>
      <w:r>
        <w:rPr>
          <w:rFonts w:hint="eastAsia" w:ascii="仿宋" w:hAnsi="仿宋" w:eastAsia="仿宋" w:cs="仿宋"/>
          <w:bCs/>
          <w:sz w:val="24"/>
        </w:rPr>
        <w:t>草莓脱毒原原种苗的制备提供更为全面和严格的指导。</w:t>
      </w:r>
    </w:p>
    <w:p w14:paraId="517D9979">
      <w:pPr>
        <w:spacing w:line="54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八、作为推荐性标准或者强制性标准的建议及其理由</w:t>
      </w:r>
    </w:p>
    <w:p w14:paraId="40C08F62">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该草莓脱毒原原种苗制备技术已在我省晋中市、运城市等地进行了试验示范，并取得了良好效果。这证明了该技术在实际应用中的可行性和有效性。但该技术规程可能并不适用于所有地区和所有草莓品种，但可作为推荐性地方标准，为各地区提供参考和借鉴。各生产单位和个人可以根据各地的实际情况进行灵活调整和应用。因此，建议将《草莓脱毒原原种苗制备技术规程》作为推荐性地方标准发布实施。</w:t>
      </w:r>
    </w:p>
    <w:p w14:paraId="4EB5BEF2">
      <w:pPr>
        <w:spacing w:line="54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九、实施标准的措施建议</w:t>
      </w:r>
    </w:p>
    <w:p w14:paraId="6FB5DFE5">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1、加强宣传与推广：通过各类媒体渠道，如电视、广播、报纸以及新媒体平台，对《草莓脱毒原原种苗制备技术规程》进行广泛宣传，确保相关从业人员和公众了解此项技术规程的重要性和应用价值。</w:t>
      </w:r>
    </w:p>
    <w:p w14:paraId="7D391A2A">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2、组织培训与指导：针对农业基层单位、果业部门、专业合作社的技术人员以及草莓种植户，开展系统的培训课程，深入讲解草莓脱毒原原种苗制备技术的具体操作流程和注意事项。定期组织技术专家前往草莓种植区进行现场技术指导，解答种植户在实际操作中遇到的问题，确保技术规程的正确实施。</w:t>
      </w:r>
    </w:p>
    <w:p w14:paraId="50838390">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3、建立试点示范基地：选择具有代表性的地区建立草莓脱毒原原种苗制备技术的试点示范基地，展示技术应用成果，为其他地区提供可复制的经验。通过试点示范基地，探索草莓脱毒原原种苗制备技术与当地实际条件的结合点，不断完善和优化技术规程。</w:t>
      </w:r>
    </w:p>
    <w:p w14:paraId="0A325314">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4、争取项目资助与支持：积极向科技、农业等相关部门申请项目资助，为《草莓脱毒原原种苗制备技术规程》的推广和实施提供资金支持。与育苗企业建立合作关系，争取横向项目支持，共同推动草莓脱毒原原种苗制备技术的广泛应用。</w:t>
      </w:r>
    </w:p>
    <w:p w14:paraId="0EC15AAB">
      <w:pPr>
        <w:adjustRightInd w:val="0"/>
        <w:snapToGrid w:val="0"/>
        <w:spacing w:line="360" w:lineRule="auto"/>
        <w:rPr>
          <w:rFonts w:hint="eastAsia" w:ascii="仿宋" w:hAnsi="仿宋" w:eastAsia="仿宋" w:cs="仿宋"/>
          <w:b/>
          <w:sz w:val="28"/>
          <w:szCs w:val="28"/>
        </w:rPr>
        <w:sectPr>
          <w:headerReference r:id="rId3" w:type="default"/>
          <w:footerReference r:id="rId4" w:type="default"/>
          <w:pgSz w:w="11906" w:h="16838"/>
          <w:pgMar w:top="1440" w:right="1800" w:bottom="1440" w:left="1800" w:header="851" w:footer="992" w:gutter="0"/>
          <w:pgNumType w:fmt="numberInDash" w:start="1"/>
          <w:cols w:space="720" w:num="1"/>
          <w:titlePg/>
          <w:docGrid w:type="linesAndChars" w:linePitch="312" w:charSpace="0"/>
        </w:sectPr>
      </w:pPr>
    </w:p>
    <w:p w14:paraId="3E8E5044">
      <w:pPr>
        <w:adjustRightInd w:val="0"/>
        <w:snapToGrid w:val="0"/>
        <w:spacing w:line="360" w:lineRule="auto"/>
        <w:rPr>
          <w:rFonts w:hint="eastAsia" w:ascii="仿宋" w:hAnsi="仿宋" w:eastAsia="仿宋" w:cs="仿宋"/>
          <w:b/>
          <w:sz w:val="28"/>
          <w:szCs w:val="28"/>
        </w:rPr>
      </w:pPr>
      <w:r>
        <w:rPr>
          <w:rFonts w:hint="eastAsia" w:ascii="仿宋" w:hAnsi="仿宋" w:eastAsia="仿宋" w:cs="仿宋"/>
          <w:b/>
          <w:sz w:val="28"/>
          <w:szCs w:val="28"/>
        </w:rPr>
        <w:t>附件:</w:t>
      </w:r>
    </w:p>
    <w:p w14:paraId="46B1FDAE">
      <w:pPr>
        <w:tabs>
          <w:tab w:val="left" w:pos="11340"/>
        </w:tabs>
        <w:adjustRightInd w:val="0"/>
        <w:snapToGrid w:val="0"/>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《草莓脱毒原原种苗制备技术规程》地方标准征求意见汇总处理表</w:t>
      </w:r>
    </w:p>
    <w:p w14:paraId="225CF10D">
      <w:pPr>
        <w:tabs>
          <w:tab w:val="left" w:pos="11340"/>
        </w:tabs>
        <w:adjustRightInd w:val="0"/>
        <w:snapToGrid w:val="0"/>
        <w:rPr>
          <w:rFonts w:hint="eastAsia" w:ascii="仿宋" w:hAnsi="仿宋" w:eastAsia="仿宋" w:cs="仿宋"/>
          <w:sz w:val="24"/>
        </w:rPr>
      </w:pPr>
      <w:r>
        <w:rPr>
          <w:rFonts w:hint="eastAsia" w:ascii="仿宋" w:hAnsi="仿宋" w:eastAsia="仿宋" w:cs="仿宋"/>
          <w:sz w:val="24"/>
        </w:rPr>
        <w:t>起草单位：山西农业大学         承办人：</w:t>
      </w:r>
      <w:r>
        <w:rPr>
          <w:rFonts w:hint="eastAsia" w:ascii="仿宋" w:hAnsi="仿宋" w:eastAsia="仿宋" w:cs="仿宋"/>
          <w:sz w:val="24"/>
          <w:lang w:val="en-US" w:eastAsia="zh-CN"/>
        </w:rPr>
        <w:t>刘伟</w:t>
      </w:r>
      <w:r>
        <w:rPr>
          <w:rFonts w:hint="eastAsia" w:ascii="仿宋" w:hAnsi="仿宋" w:eastAsia="仿宋" w:cs="仿宋"/>
          <w:sz w:val="24"/>
        </w:rPr>
        <w:t xml:space="preserve">           联系电话：18</w:t>
      </w:r>
      <w:r>
        <w:rPr>
          <w:rFonts w:hint="eastAsia" w:ascii="仿宋" w:hAnsi="仿宋" w:eastAsia="仿宋" w:cs="仿宋"/>
          <w:sz w:val="24"/>
          <w:lang w:val="en-US" w:eastAsia="zh-CN"/>
        </w:rPr>
        <w:t>234426028</w:t>
      </w:r>
      <w:r>
        <w:rPr>
          <w:rFonts w:hint="eastAsia" w:ascii="仿宋" w:hAnsi="仿宋" w:eastAsia="仿宋" w:cs="仿宋"/>
          <w:sz w:val="24"/>
        </w:rPr>
        <w:t xml:space="preserve">           填写时间：202</w:t>
      </w:r>
      <w:r>
        <w:rPr>
          <w:rFonts w:hint="eastAsia" w:ascii="仿宋" w:hAnsi="仿宋" w:eastAsia="仿宋" w:cs="仿宋"/>
          <w:sz w:val="24"/>
          <w:lang w:val="en-US" w:eastAsia="zh-CN"/>
        </w:rPr>
        <w:t>3</w:t>
      </w:r>
      <w:r>
        <w:rPr>
          <w:rFonts w:hint="eastAsia" w:ascii="仿宋" w:hAnsi="仿宋" w:eastAsia="仿宋" w:cs="仿宋"/>
          <w:sz w:val="24"/>
        </w:rPr>
        <w:t>年</w:t>
      </w:r>
      <w:r>
        <w:rPr>
          <w:rFonts w:hint="eastAsia" w:ascii="仿宋" w:hAnsi="仿宋" w:eastAsia="仿宋" w:cs="仿宋"/>
          <w:sz w:val="24"/>
          <w:lang w:val="en-US" w:eastAsia="zh-CN"/>
        </w:rPr>
        <w:t>1</w:t>
      </w:r>
      <w:r>
        <w:rPr>
          <w:rFonts w:hint="eastAsia" w:ascii="仿宋" w:hAnsi="仿宋" w:eastAsia="仿宋" w:cs="仿宋"/>
          <w:sz w:val="24"/>
        </w:rPr>
        <w:t>2月</w:t>
      </w:r>
      <w:r>
        <w:rPr>
          <w:rFonts w:hint="eastAsia" w:ascii="仿宋" w:hAnsi="仿宋" w:eastAsia="仿宋" w:cs="仿宋"/>
          <w:sz w:val="24"/>
          <w:lang w:val="en-US" w:eastAsia="zh-CN"/>
        </w:rPr>
        <w:t>30</w:t>
      </w:r>
      <w:r>
        <w:rPr>
          <w:rFonts w:hint="eastAsia" w:ascii="仿宋" w:hAnsi="仿宋" w:eastAsia="仿宋" w:cs="仿宋"/>
          <w:sz w:val="24"/>
        </w:rPr>
        <w:t>日</w:t>
      </w:r>
    </w:p>
    <w:tbl>
      <w:tblPr>
        <w:tblStyle w:val="14"/>
        <w:tblW w:w="0" w:type="auto"/>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108" w:type="dxa"/>
          <w:bottom w:w="0" w:type="dxa"/>
          <w:right w:w="108" w:type="dxa"/>
        </w:tblCellMar>
      </w:tblPr>
      <w:tblGrid>
        <w:gridCol w:w="650"/>
        <w:gridCol w:w="1560"/>
        <w:gridCol w:w="4110"/>
        <w:gridCol w:w="3686"/>
        <w:gridCol w:w="1984"/>
        <w:gridCol w:w="2134"/>
      </w:tblGrid>
      <w:tr w14:paraId="012F24F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492" w:hRule="atLeast"/>
          <w:jc w:val="center"/>
        </w:trPr>
        <w:tc>
          <w:tcPr>
            <w:tcW w:w="650" w:type="dxa"/>
            <w:noWrap w:val="0"/>
            <w:vAlign w:val="center"/>
          </w:tcPr>
          <w:p w14:paraId="24E4DA37">
            <w:pPr>
              <w:adjustRightInd w:val="0"/>
              <w:snapToGrid w:val="0"/>
              <w:spacing w:line="360" w:lineRule="auto"/>
              <w:jc w:val="center"/>
              <w:rPr>
                <w:rFonts w:hint="eastAsia" w:ascii="仿宋" w:hAnsi="仿宋" w:eastAsia="仿宋" w:cs="仿宋"/>
                <w:szCs w:val="21"/>
              </w:rPr>
            </w:pPr>
            <w:r>
              <w:rPr>
                <w:rFonts w:hint="eastAsia" w:ascii="仿宋" w:hAnsi="仿宋" w:eastAsia="仿宋" w:cs="仿宋"/>
                <w:szCs w:val="21"/>
              </w:rPr>
              <w:t>序号</w:t>
            </w:r>
          </w:p>
        </w:tc>
        <w:tc>
          <w:tcPr>
            <w:tcW w:w="1560" w:type="dxa"/>
            <w:noWrap w:val="0"/>
            <w:vAlign w:val="center"/>
          </w:tcPr>
          <w:p w14:paraId="76D9EFB6">
            <w:pPr>
              <w:adjustRightInd w:val="0"/>
              <w:snapToGrid w:val="0"/>
              <w:spacing w:line="360" w:lineRule="auto"/>
              <w:jc w:val="center"/>
              <w:rPr>
                <w:rFonts w:hint="eastAsia" w:ascii="仿宋" w:hAnsi="仿宋" w:eastAsia="仿宋" w:cs="仿宋"/>
                <w:szCs w:val="21"/>
              </w:rPr>
            </w:pPr>
            <w:r>
              <w:rPr>
                <w:rFonts w:hint="eastAsia" w:ascii="仿宋" w:hAnsi="仿宋" w:eastAsia="仿宋" w:cs="仿宋"/>
                <w:szCs w:val="21"/>
              </w:rPr>
              <w:t>标准章条编号</w:t>
            </w:r>
          </w:p>
        </w:tc>
        <w:tc>
          <w:tcPr>
            <w:tcW w:w="4110" w:type="dxa"/>
            <w:noWrap w:val="0"/>
            <w:vAlign w:val="center"/>
          </w:tcPr>
          <w:p w14:paraId="0A8E378D">
            <w:pPr>
              <w:adjustRightInd w:val="0"/>
              <w:snapToGrid w:val="0"/>
              <w:spacing w:line="360" w:lineRule="auto"/>
              <w:jc w:val="center"/>
              <w:rPr>
                <w:rFonts w:hint="eastAsia" w:ascii="仿宋" w:hAnsi="仿宋" w:eastAsia="仿宋" w:cs="仿宋"/>
                <w:szCs w:val="21"/>
              </w:rPr>
            </w:pPr>
            <w:r>
              <w:rPr>
                <w:rFonts w:hint="eastAsia" w:ascii="仿宋" w:hAnsi="仿宋" w:eastAsia="仿宋" w:cs="仿宋"/>
                <w:szCs w:val="21"/>
              </w:rPr>
              <w:t>意见内容</w:t>
            </w:r>
          </w:p>
        </w:tc>
        <w:tc>
          <w:tcPr>
            <w:tcW w:w="3686" w:type="dxa"/>
            <w:noWrap w:val="0"/>
            <w:vAlign w:val="center"/>
          </w:tcPr>
          <w:p w14:paraId="21E0865B">
            <w:pPr>
              <w:adjustRightInd w:val="0"/>
              <w:snapToGrid w:val="0"/>
              <w:spacing w:line="360" w:lineRule="auto"/>
              <w:jc w:val="center"/>
              <w:rPr>
                <w:rFonts w:hint="eastAsia" w:ascii="仿宋" w:hAnsi="仿宋" w:eastAsia="仿宋" w:cs="仿宋"/>
                <w:szCs w:val="21"/>
              </w:rPr>
            </w:pPr>
            <w:r>
              <w:rPr>
                <w:rFonts w:hint="eastAsia" w:ascii="仿宋" w:hAnsi="仿宋" w:eastAsia="仿宋" w:cs="仿宋"/>
                <w:szCs w:val="21"/>
              </w:rPr>
              <w:t>提出单位（或个人）</w:t>
            </w:r>
          </w:p>
        </w:tc>
        <w:tc>
          <w:tcPr>
            <w:tcW w:w="1984" w:type="dxa"/>
            <w:noWrap w:val="0"/>
            <w:vAlign w:val="center"/>
          </w:tcPr>
          <w:p w14:paraId="542AC278">
            <w:pPr>
              <w:adjustRightInd w:val="0"/>
              <w:snapToGrid w:val="0"/>
              <w:spacing w:line="360" w:lineRule="auto"/>
              <w:jc w:val="center"/>
              <w:rPr>
                <w:rFonts w:hint="eastAsia" w:ascii="仿宋" w:hAnsi="仿宋" w:eastAsia="仿宋" w:cs="仿宋"/>
                <w:szCs w:val="21"/>
              </w:rPr>
            </w:pPr>
            <w:r>
              <w:rPr>
                <w:rFonts w:hint="eastAsia" w:ascii="仿宋" w:hAnsi="仿宋" w:eastAsia="仿宋" w:cs="仿宋"/>
                <w:szCs w:val="21"/>
              </w:rPr>
              <w:t>处理意见</w:t>
            </w:r>
          </w:p>
          <w:p w14:paraId="31641953">
            <w:pPr>
              <w:adjustRightInd w:val="0"/>
              <w:snapToGrid w:val="0"/>
              <w:spacing w:line="360" w:lineRule="auto"/>
              <w:jc w:val="center"/>
              <w:rPr>
                <w:rFonts w:hint="eastAsia" w:ascii="仿宋" w:hAnsi="仿宋" w:eastAsia="仿宋" w:cs="仿宋"/>
                <w:szCs w:val="21"/>
              </w:rPr>
            </w:pPr>
            <w:r>
              <w:rPr>
                <w:rFonts w:hint="eastAsia" w:ascii="仿宋" w:hAnsi="仿宋" w:eastAsia="仿宋" w:cs="仿宋"/>
                <w:szCs w:val="21"/>
              </w:rPr>
              <w:t>（采纳/不采纳）</w:t>
            </w:r>
          </w:p>
        </w:tc>
        <w:tc>
          <w:tcPr>
            <w:tcW w:w="2134" w:type="dxa"/>
            <w:noWrap w:val="0"/>
            <w:vAlign w:val="center"/>
          </w:tcPr>
          <w:p w14:paraId="242CEE10">
            <w:pPr>
              <w:adjustRightInd w:val="0"/>
              <w:snapToGrid w:val="0"/>
              <w:spacing w:line="360" w:lineRule="auto"/>
              <w:jc w:val="center"/>
              <w:rPr>
                <w:rFonts w:hint="eastAsia" w:ascii="仿宋" w:hAnsi="仿宋" w:eastAsia="仿宋" w:cs="仿宋"/>
                <w:szCs w:val="21"/>
              </w:rPr>
            </w:pPr>
            <w:r>
              <w:rPr>
                <w:rFonts w:hint="eastAsia" w:ascii="仿宋" w:hAnsi="仿宋" w:eastAsia="仿宋" w:cs="仿宋"/>
                <w:szCs w:val="21"/>
              </w:rPr>
              <w:t>意见处理说明</w:t>
            </w:r>
          </w:p>
          <w:p w14:paraId="7546ED51">
            <w:pPr>
              <w:adjustRightInd w:val="0"/>
              <w:snapToGrid w:val="0"/>
              <w:spacing w:line="360" w:lineRule="auto"/>
              <w:jc w:val="center"/>
              <w:rPr>
                <w:rFonts w:hint="eastAsia" w:ascii="仿宋" w:hAnsi="仿宋" w:eastAsia="仿宋" w:cs="仿宋"/>
                <w:szCs w:val="21"/>
              </w:rPr>
            </w:pPr>
            <w:r>
              <w:rPr>
                <w:rFonts w:hint="eastAsia" w:ascii="仿宋" w:hAnsi="仿宋" w:eastAsia="仿宋" w:cs="仿宋"/>
                <w:szCs w:val="21"/>
              </w:rPr>
              <w:t>（不采纳的理由等）</w:t>
            </w:r>
          </w:p>
        </w:tc>
      </w:tr>
      <w:tr w14:paraId="4F16ABE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20" w:hRule="atLeast"/>
          <w:jc w:val="center"/>
        </w:trPr>
        <w:tc>
          <w:tcPr>
            <w:tcW w:w="650" w:type="dxa"/>
            <w:noWrap w:val="0"/>
            <w:vAlign w:val="center"/>
          </w:tcPr>
          <w:p w14:paraId="44C30481">
            <w:pPr>
              <w:adjustRightInd w:val="0"/>
              <w:snapToGrid w:val="0"/>
              <w:spacing w:line="360" w:lineRule="auto"/>
              <w:jc w:val="center"/>
              <w:rPr>
                <w:rFonts w:hint="eastAsia" w:ascii="仿宋" w:hAnsi="仿宋" w:eastAsia="仿宋" w:cs="仿宋"/>
                <w:szCs w:val="21"/>
              </w:rPr>
            </w:pPr>
            <w:r>
              <w:rPr>
                <w:rFonts w:hint="eastAsia" w:ascii="仿宋" w:hAnsi="仿宋" w:eastAsia="仿宋" w:cs="仿宋"/>
                <w:szCs w:val="21"/>
              </w:rPr>
              <w:t>1</w:t>
            </w:r>
          </w:p>
        </w:tc>
        <w:tc>
          <w:tcPr>
            <w:tcW w:w="1560" w:type="dxa"/>
            <w:noWrap w:val="0"/>
            <w:vAlign w:val="center"/>
          </w:tcPr>
          <w:p w14:paraId="0E49C10D">
            <w:pPr>
              <w:adjustRightInd w:val="0"/>
              <w:snapToGrid w:val="0"/>
              <w:spacing w:line="360" w:lineRule="auto"/>
              <w:jc w:val="center"/>
              <w:rPr>
                <w:rFonts w:hint="default" w:ascii="仿宋" w:hAnsi="仿宋" w:eastAsia="仿宋" w:cs="仿宋"/>
                <w:szCs w:val="21"/>
                <w:lang w:val="en-US" w:eastAsia="zh-CN"/>
              </w:rPr>
            </w:pPr>
            <w:r>
              <w:rPr>
                <w:rFonts w:hint="eastAsia" w:ascii="仿宋" w:hAnsi="仿宋" w:eastAsia="仿宋" w:cs="仿宋"/>
                <w:szCs w:val="21"/>
                <w:lang w:val="en-US" w:eastAsia="zh-CN"/>
              </w:rPr>
              <w:t>第5章</w:t>
            </w:r>
          </w:p>
        </w:tc>
        <w:tc>
          <w:tcPr>
            <w:tcW w:w="4110" w:type="dxa"/>
            <w:noWrap w:val="0"/>
            <w:vAlign w:val="center"/>
          </w:tcPr>
          <w:p w14:paraId="7BA9474E">
            <w:pPr>
              <w:adjustRightInd w:val="0"/>
              <w:snapToGrid w:val="0"/>
              <w:spacing w:line="360" w:lineRule="auto"/>
              <w:jc w:val="center"/>
              <w:rPr>
                <w:rFonts w:hint="default" w:ascii="仿宋" w:hAnsi="仿宋" w:eastAsia="仿宋" w:cs="仿宋"/>
                <w:szCs w:val="21"/>
                <w:lang w:val="en-US"/>
              </w:rPr>
            </w:pPr>
            <w:r>
              <w:rPr>
                <w:rFonts w:hint="eastAsia" w:ascii="仿宋" w:hAnsi="仿宋" w:eastAsia="仿宋" w:cs="仿宋"/>
                <w:bCs/>
                <w:szCs w:val="21"/>
              </w:rPr>
              <w:t>建议</w:t>
            </w:r>
            <w:r>
              <w:rPr>
                <w:rFonts w:hint="eastAsia" w:ascii="仿宋" w:hAnsi="仿宋" w:eastAsia="仿宋" w:cs="仿宋"/>
                <w:bCs/>
                <w:szCs w:val="21"/>
                <w:lang w:val="en-US" w:eastAsia="zh-CN"/>
              </w:rPr>
              <w:t>优化病毒检测的流程</w:t>
            </w:r>
          </w:p>
        </w:tc>
        <w:tc>
          <w:tcPr>
            <w:tcW w:w="3686" w:type="dxa"/>
            <w:noWrap w:val="0"/>
            <w:vAlign w:val="center"/>
          </w:tcPr>
          <w:p w14:paraId="23F58BD5">
            <w:pPr>
              <w:adjustRightInd w:val="0"/>
              <w:snapToGrid w:val="0"/>
              <w:spacing w:line="360" w:lineRule="auto"/>
              <w:jc w:val="center"/>
              <w:rPr>
                <w:rFonts w:hint="eastAsia" w:ascii="仿宋" w:hAnsi="仿宋" w:eastAsia="仿宋" w:cs="仿宋"/>
                <w:szCs w:val="21"/>
              </w:rPr>
            </w:pPr>
            <w:r>
              <w:rPr>
                <w:rFonts w:hint="eastAsia" w:ascii="仿宋" w:hAnsi="仿宋" w:eastAsia="仿宋" w:cs="仿宋"/>
                <w:szCs w:val="21"/>
              </w:rPr>
              <w:t>山西巨鑫伟业农业科技开发有限公司</w:t>
            </w:r>
          </w:p>
        </w:tc>
        <w:tc>
          <w:tcPr>
            <w:tcW w:w="1984" w:type="dxa"/>
            <w:noWrap w:val="0"/>
            <w:vAlign w:val="center"/>
          </w:tcPr>
          <w:p w14:paraId="235CA553">
            <w:pPr>
              <w:adjustRightInd w:val="0"/>
              <w:snapToGrid w:val="0"/>
              <w:spacing w:line="360" w:lineRule="auto"/>
              <w:jc w:val="center"/>
              <w:rPr>
                <w:rFonts w:hint="eastAsia" w:ascii="仿宋" w:hAnsi="仿宋" w:eastAsia="仿宋" w:cs="仿宋"/>
                <w:szCs w:val="21"/>
              </w:rPr>
            </w:pPr>
            <w:r>
              <w:rPr>
                <w:rFonts w:hint="eastAsia" w:ascii="仿宋" w:hAnsi="仿宋" w:eastAsia="仿宋" w:cs="仿宋"/>
                <w:szCs w:val="21"/>
              </w:rPr>
              <w:t>采纳</w:t>
            </w:r>
          </w:p>
        </w:tc>
        <w:tc>
          <w:tcPr>
            <w:tcW w:w="2134" w:type="dxa"/>
            <w:noWrap w:val="0"/>
            <w:vAlign w:val="center"/>
          </w:tcPr>
          <w:p w14:paraId="33DC3C89">
            <w:pPr>
              <w:adjustRightInd w:val="0"/>
              <w:snapToGrid w:val="0"/>
              <w:spacing w:line="360" w:lineRule="auto"/>
              <w:jc w:val="center"/>
              <w:rPr>
                <w:rFonts w:hint="eastAsia" w:ascii="仿宋" w:hAnsi="仿宋" w:eastAsia="仿宋" w:cs="仿宋"/>
                <w:szCs w:val="21"/>
              </w:rPr>
            </w:pPr>
          </w:p>
        </w:tc>
      </w:tr>
      <w:tr w14:paraId="7089112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650" w:type="dxa"/>
            <w:noWrap w:val="0"/>
            <w:vAlign w:val="center"/>
          </w:tcPr>
          <w:p w14:paraId="0C859DC8">
            <w:pPr>
              <w:adjustRightInd w:val="0"/>
              <w:snapToGrid w:val="0"/>
              <w:spacing w:line="360" w:lineRule="auto"/>
              <w:jc w:val="center"/>
              <w:rPr>
                <w:rFonts w:hint="eastAsia" w:ascii="仿宋" w:hAnsi="仿宋" w:eastAsia="仿宋" w:cs="仿宋"/>
                <w:szCs w:val="21"/>
              </w:rPr>
            </w:pPr>
            <w:r>
              <w:rPr>
                <w:rFonts w:hint="eastAsia" w:ascii="仿宋" w:hAnsi="仿宋" w:eastAsia="仿宋" w:cs="仿宋"/>
                <w:szCs w:val="21"/>
              </w:rPr>
              <w:t>2</w:t>
            </w:r>
          </w:p>
        </w:tc>
        <w:tc>
          <w:tcPr>
            <w:tcW w:w="1560" w:type="dxa"/>
            <w:noWrap w:val="0"/>
            <w:vAlign w:val="center"/>
          </w:tcPr>
          <w:p w14:paraId="46C4355C">
            <w:pPr>
              <w:adjustRightInd w:val="0"/>
              <w:snapToGrid w:val="0"/>
              <w:spacing w:line="360" w:lineRule="auto"/>
              <w:jc w:val="center"/>
              <w:rPr>
                <w:rFonts w:hint="eastAsia" w:ascii="仿宋" w:hAnsi="仿宋" w:eastAsia="仿宋" w:cs="仿宋"/>
                <w:szCs w:val="21"/>
              </w:rPr>
            </w:pPr>
            <w:r>
              <w:rPr>
                <w:rFonts w:hint="eastAsia" w:ascii="仿宋" w:hAnsi="仿宋" w:eastAsia="仿宋" w:cs="仿宋"/>
                <w:szCs w:val="21"/>
                <w:lang w:val="en-US" w:eastAsia="zh-CN"/>
              </w:rPr>
              <w:t>第9章</w:t>
            </w:r>
          </w:p>
        </w:tc>
        <w:tc>
          <w:tcPr>
            <w:tcW w:w="4110" w:type="dxa"/>
            <w:noWrap w:val="0"/>
            <w:vAlign w:val="center"/>
          </w:tcPr>
          <w:p w14:paraId="16830B6E">
            <w:pPr>
              <w:adjustRightInd w:val="0"/>
              <w:snapToGrid w:val="0"/>
              <w:spacing w:line="360" w:lineRule="auto"/>
              <w:jc w:val="center"/>
              <w:rPr>
                <w:rFonts w:hint="eastAsia" w:ascii="仿宋" w:hAnsi="仿宋" w:eastAsia="仿宋" w:cs="仿宋"/>
                <w:szCs w:val="21"/>
              </w:rPr>
            </w:pPr>
            <w:r>
              <w:rPr>
                <w:rFonts w:hint="eastAsia" w:ascii="仿宋" w:hAnsi="仿宋" w:eastAsia="仿宋" w:cs="仿宋"/>
                <w:bCs/>
                <w:szCs w:val="21"/>
              </w:rPr>
              <w:t>建议增加</w:t>
            </w:r>
            <w:r>
              <w:rPr>
                <w:rFonts w:hint="eastAsia" w:ascii="仿宋" w:hAnsi="仿宋" w:eastAsia="仿宋" w:cs="仿宋"/>
                <w:bCs/>
                <w:szCs w:val="21"/>
                <w:lang w:val="en-US" w:eastAsia="zh-CN"/>
              </w:rPr>
              <w:t>脱毒原原种苗移栽后的养护条件</w:t>
            </w:r>
            <w:r>
              <w:rPr>
                <w:rFonts w:hint="eastAsia" w:ascii="仿宋" w:hAnsi="仿宋" w:eastAsia="仿宋" w:cs="仿宋"/>
                <w:bCs/>
                <w:szCs w:val="21"/>
              </w:rPr>
              <w:t>等内容</w:t>
            </w:r>
          </w:p>
        </w:tc>
        <w:tc>
          <w:tcPr>
            <w:tcW w:w="3686" w:type="dxa"/>
            <w:noWrap w:val="0"/>
            <w:vAlign w:val="center"/>
          </w:tcPr>
          <w:p w14:paraId="150336F4">
            <w:pPr>
              <w:adjustRightInd w:val="0"/>
              <w:snapToGrid w:val="0"/>
              <w:spacing w:line="360" w:lineRule="auto"/>
              <w:jc w:val="center"/>
              <w:rPr>
                <w:rFonts w:hint="eastAsia" w:ascii="仿宋" w:hAnsi="仿宋" w:eastAsia="仿宋" w:cs="仿宋"/>
                <w:szCs w:val="21"/>
              </w:rPr>
            </w:pPr>
            <w:r>
              <w:rPr>
                <w:rFonts w:hint="eastAsia" w:ascii="仿宋" w:hAnsi="仿宋" w:eastAsia="仿宋" w:cs="仿宋"/>
                <w:szCs w:val="21"/>
              </w:rPr>
              <w:t>太谷区政芳草莓专业合作社</w:t>
            </w:r>
          </w:p>
        </w:tc>
        <w:tc>
          <w:tcPr>
            <w:tcW w:w="1984" w:type="dxa"/>
            <w:noWrap w:val="0"/>
            <w:vAlign w:val="center"/>
          </w:tcPr>
          <w:p w14:paraId="75CBD593">
            <w:pPr>
              <w:adjustRightInd w:val="0"/>
              <w:snapToGrid w:val="0"/>
              <w:spacing w:line="360" w:lineRule="auto"/>
              <w:jc w:val="center"/>
              <w:rPr>
                <w:rFonts w:hint="eastAsia" w:ascii="仿宋" w:hAnsi="仿宋" w:eastAsia="仿宋" w:cs="仿宋"/>
                <w:szCs w:val="21"/>
              </w:rPr>
            </w:pPr>
            <w:r>
              <w:rPr>
                <w:rFonts w:hint="eastAsia" w:ascii="仿宋" w:hAnsi="仿宋" w:eastAsia="仿宋" w:cs="仿宋"/>
                <w:szCs w:val="21"/>
              </w:rPr>
              <w:t>采纳</w:t>
            </w:r>
          </w:p>
        </w:tc>
        <w:tc>
          <w:tcPr>
            <w:tcW w:w="2134" w:type="dxa"/>
            <w:noWrap w:val="0"/>
            <w:vAlign w:val="center"/>
          </w:tcPr>
          <w:p w14:paraId="295199B5">
            <w:pPr>
              <w:adjustRightInd w:val="0"/>
              <w:snapToGrid w:val="0"/>
              <w:spacing w:line="360" w:lineRule="auto"/>
              <w:jc w:val="center"/>
              <w:rPr>
                <w:rFonts w:hint="eastAsia" w:ascii="仿宋" w:hAnsi="仿宋" w:eastAsia="仿宋" w:cs="仿宋"/>
                <w:szCs w:val="21"/>
              </w:rPr>
            </w:pPr>
          </w:p>
        </w:tc>
      </w:tr>
      <w:tr w14:paraId="5F152F3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06" w:hRule="atLeast"/>
          <w:jc w:val="center"/>
        </w:trPr>
        <w:tc>
          <w:tcPr>
            <w:tcW w:w="650" w:type="dxa"/>
            <w:noWrap w:val="0"/>
            <w:vAlign w:val="center"/>
          </w:tcPr>
          <w:p w14:paraId="693179ED">
            <w:pPr>
              <w:adjustRightInd w:val="0"/>
              <w:snapToGrid w:val="0"/>
              <w:spacing w:line="360" w:lineRule="auto"/>
              <w:jc w:val="center"/>
              <w:rPr>
                <w:rFonts w:hint="eastAsia" w:ascii="仿宋" w:hAnsi="仿宋" w:eastAsia="仿宋" w:cs="仿宋"/>
                <w:szCs w:val="21"/>
              </w:rPr>
            </w:pPr>
            <w:r>
              <w:rPr>
                <w:rFonts w:hint="eastAsia" w:ascii="仿宋" w:hAnsi="仿宋" w:eastAsia="仿宋" w:cs="仿宋"/>
                <w:szCs w:val="21"/>
              </w:rPr>
              <w:t>3</w:t>
            </w:r>
          </w:p>
        </w:tc>
        <w:tc>
          <w:tcPr>
            <w:tcW w:w="1560" w:type="dxa"/>
            <w:noWrap w:val="0"/>
            <w:vAlign w:val="center"/>
          </w:tcPr>
          <w:p w14:paraId="6411D32D">
            <w:pPr>
              <w:adjustRightInd w:val="0"/>
              <w:snapToGrid w:val="0"/>
              <w:spacing w:line="360" w:lineRule="auto"/>
              <w:jc w:val="center"/>
              <w:rPr>
                <w:rFonts w:hint="eastAsia" w:ascii="仿宋" w:hAnsi="仿宋" w:eastAsia="仿宋" w:cs="仿宋"/>
                <w:szCs w:val="21"/>
              </w:rPr>
            </w:pPr>
            <w:r>
              <w:rPr>
                <w:rFonts w:hint="eastAsia" w:ascii="仿宋" w:hAnsi="仿宋" w:eastAsia="仿宋" w:cs="仿宋"/>
                <w:szCs w:val="21"/>
                <w:lang w:val="en-US" w:eastAsia="zh-CN"/>
              </w:rPr>
              <w:t>第9章</w:t>
            </w:r>
          </w:p>
        </w:tc>
        <w:tc>
          <w:tcPr>
            <w:tcW w:w="4110" w:type="dxa"/>
            <w:noWrap w:val="0"/>
            <w:vAlign w:val="center"/>
          </w:tcPr>
          <w:p w14:paraId="0CA8DC0F">
            <w:pPr>
              <w:adjustRightInd w:val="0"/>
              <w:snapToGrid w:val="0"/>
              <w:spacing w:line="360" w:lineRule="auto"/>
              <w:jc w:val="center"/>
              <w:rPr>
                <w:rFonts w:hint="default" w:ascii="仿宋" w:hAnsi="仿宋" w:eastAsia="仿宋" w:cs="仿宋"/>
                <w:szCs w:val="21"/>
                <w:lang w:val="en-US"/>
              </w:rPr>
            </w:pPr>
            <w:r>
              <w:rPr>
                <w:rFonts w:hint="eastAsia" w:ascii="仿宋" w:hAnsi="仿宋" w:eastAsia="仿宋" w:cs="仿宋"/>
                <w:bCs/>
                <w:szCs w:val="21"/>
              </w:rPr>
              <w:t>建议增加</w:t>
            </w:r>
            <w:r>
              <w:rPr>
                <w:rFonts w:hint="eastAsia" w:ascii="仿宋" w:hAnsi="仿宋" w:eastAsia="仿宋" w:cs="仿宋"/>
                <w:bCs/>
                <w:szCs w:val="21"/>
                <w:lang w:val="en-US" w:eastAsia="zh-CN"/>
              </w:rPr>
              <w:t>脱毒原原种苗的保藏方式及方法</w:t>
            </w:r>
          </w:p>
        </w:tc>
        <w:tc>
          <w:tcPr>
            <w:tcW w:w="3686" w:type="dxa"/>
            <w:noWrap w:val="0"/>
            <w:vAlign w:val="center"/>
          </w:tcPr>
          <w:p w14:paraId="5F398488">
            <w:pPr>
              <w:adjustRightInd w:val="0"/>
              <w:snapToGrid w:val="0"/>
              <w:spacing w:line="360" w:lineRule="auto"/>
              <w:jc w:val="center"/>
              <w:rPr>
                <w:rFonts w:hint="eastAsia" w:ascii="仿宋" w:hAnsi="仿宋" w:eastAsia="仿宋" w:cs="仿宋"/>
                <w:szCs w:val="21"/>
              </w:rPr>
            </w:pPr>
            <w:r>
              <w:rPr>
                <w:rFonts w:hint="eastAsia" w:ascii="仿宋" w:hAnsi="仿宋" w:eastAsia="仿宋" w:cs="仿宋"/>
                <w:szCs w:val="21"/>
              </w:rPr>
              <w:t>陵川县上郊蔬菜专业合作社</w:t>
            </w:r>
          </w:p>
        </w:tc>
        <w:tc>
          <w:tcPr>
            <w:tcW w:w="1984" w:type="dxa"/>
            <w:noWrap w:val="0"/>
            <w:vAlign w:val="center"/>
          </w:tcPr>
          <w:p w14:paraId="2584EA12">
            <w:pPr>
              <w:adjustRightInd w:val="0"/>
              <w:snapToGrid w:val="0"/>
              <w:spacing w:line="360" w:lineRule="auto"/>
              <w:jc w:val="center"/>
              <w:rPr>
                <w:rFonts w:hint="eastAsia" w:ascii="仿宋" w:hAnsi="仿宋" w:eastAsia="仿宋" w:cs="仿宋"/>
                <w:szCs w:val="21"/>
              </w:rPr>
            </w:pPr>
            <w:r>
              <w:rPr>
                <w:rFonts w:hint="eastAsia" w:ascii="仿宋" w:hAnsi="仿宋" w:eastAsia="仿宋" w:cs="仿宋"/>
                <w:szCs w:val="21"/>
              </w:rPr>
              <w:t>采纳</w:t>
            </w:r>
          </w:p>
        </w:tc>
        <w:tc>
          <w:tcPr>
            <w:tcW w:w="2134" w:type="dxa"/>
            <w:noWrap w:val="0"/>
            <w:vAlign w:val="center"/>
          </w:tcPr>
          <w:p w14:paraId="54871666">
            <w:pPr>
              <w:adjustRightInd w:val="0"/>
              <w:snapToGrid w:val="0"/>
              <w:spacing w:line="360" w:lineRule="auto"/>
              <w:jc w:val="center"/>
              <w:rPr>
                <w:rFonts w:hint="eastAsia" w:ascii="仿宋" w:hAnsi="仿宋" w:eastAsia="仿宋" w:cs="仿宋"/>
                <w:szCs w:val="21"/>
              </w:rPr>
            </w:pPr>
          </w:p>
        </w:tc>
      </w:tr>
      <w:tr w14:paraId="6F1A587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70" w:hRule="atLeast"/>
          <w:jc w:val="center"/>
        </w:trPr>
        <w:tc>
          <w:tcPr>
            <w:tcW w:w="650" w:type="dxa"/>
            <w:noWrap w:val="0"/>
            <w:vAlign w:val="center"/>
          </w:tcPr>
          <w:p w14:paraId="6F09D74E">
            <w:pPr>
              <w:adjustRightInd w:val="0"/>
              <w:snapToGrid w:val="0"/>
              <w:spacing w:line="360" w:lineRule="auto"/>
              <w:jc w:val="center"/>
              <w:rPr>
                <w:rFonts w:hint="eastAsia" w:ascii="仿宋" w:hAnsi="仿宋" w:eastAsia="仿宋" w:cs="仿宋"/>
                <w:szCs w:val="21"/>
              </w:rPr>
            </w:pPr>
            <w:r>
              <w:rPr>
                <w:rFonts w:hint="eastAsia" w:ascii="仿宋" w:hAnsi="仿宋" w:eastAsia="仿宋" w:cs="仿宋"/>
                <w:szCs w:val="21"/>
              </w:rPr>
              <w:t>4</w:t>
            </w:r>
          </w:p>
        </w:tc>
        <w:tc>
          <w:tcPr>
            <w:tcW w:w="1560" w:type="dxa"/>
            <w:noWrap w:val="0"/>
            <w:vAlign w:val="center"/>
          </w:tcPr>
          <w:p w14:paraId="1125386A">
            <w:pPr>
              <w:adjustRightInd w:val="0"/>
              <w:snapToGrid w:val="0"/>
              <w:spacing w:line="360" w:lineRule="auto"/>
              <w:jc w:val="center"/>
              <w:rPr>
                <w:rFonts w:hint="eastAsia" w:ascii="仿宋" w:hAnsi="仿宋" w:eastAsia="仿宋" w:cs="仿宋"/>
                <w:szCs w:val="21"/>
              </w:rPr>
            </w:pPr>
            <w:r>
              <w:rPr>
                <w:rFonts w:hint="eastAsia" w:ascii="仿宋" w:hAnsi="仿宋" w:eastAsia="仿宋" w:cs="仿宋"/>
                <w:szCs w:val="21"/>
                <w:lang w:val="en-US" w:eastAsia="zh-CN"/>
              </w:rPr>
              <w:t>第5章</w:t>
            </w:r>
          </w:p>
        </w:tc>
        <w:tc>
          <w:tcPr>
            <w:tcW w:w="4110" w:type="dxa"/>
            <w:noWrap w:val="0"/>
            <w:vAlign w:val="center"/>
          </w:tcPr>
          <w:p w14:paraId="00453797">
            <w:pPr>
              <w:adjustRightInd w:val="0"/>
              <w:snapToGrid w:val="0"/>
              <w:spacing w:line="360" w:lineRule="auto"/>
              <w:jc w:val="center"/>
              <w:rPr>
                <w:rFonts w:hint="default" w:ascii="仿宋" w:hAnsi="仿宋" w:eastAsia="仿宋" w:cs="仿宋"/>
                <w:szCs w:val="21"/>
                <w:lang w:val="en-US" w:eastAsia="zh-CN"/>
              </w:rPr>
            </w:pPr>
            <w:r>
              <w:rPr>
                <w:rFonts w:hint="eastAsia" w:ascii="仿宋" w:hAnsi="仿宋" w:eastAsia="仿宋" w:cs="仿宋"/>
                <w:bCs/>
                <w:szCs w:val="21"/>
              </w:rPr>
              <w:t>建议</w:t>
            </w:r>
            <w:r>
              <w:rPr>
                <w:rFonts w:hint="eastAsia" w:ascii="仿宋" w:hAnsi="仿宋" w:eastAsia="仿宋" w:cs="仿宋"/>
                <w:bCs/>
                <w:szCs w:val="21"/>
                <w:lang w:val="en-US" w:eastAsia="zh-CN"/>
              </w:rPr>
              <w:t>限定脱毒原原种苗的隔离环境要求</w:t>
            </w:r>
          </w:p>
        </w:tc>
        <w:tc>
          <w:tcPr>
            <w:tcW w:w="3686" w:type="dxa"/>
            <w:noWrap w:val="0"/>
            <w:vAlign w:val="center"/>
          </w:tcPr>
          <w:p w14:paraId="7305D0BC">
            <w:pPr>
              <w:adjustRightInd w:val="0"/>
              <w:snapToGrid w:val="0"/>
              <w:spacing w:line="360" w:lineRule="auto"/>
              <w:jc w:val="center"/>
              <w:rPr>
                <w:rFonts w:hint="eastAsia" w:ascii="仿宋" w:hAnsi="仿宋" w:eastAsia="仿宋" w:cs="仿宋"/>
                <w:szCs w:val="21"/>
              </w:rPr>
            </w:pPr>
            <w:r>
              <w:rPr>
                <w:rFonts w:hint="eastAsia" w:ascii="仿宋" w:hAnsi="仿宋" w:eastAsia="仿宋" w:cs="仿宋"/>
                <w:szCs w:val="21"/>
              </w:rPr>
              <w:t>永济市润田草莓种植专业合作社</w:t>
            </w:r>
          </w:p>
        </w:tc>
        <w:tc>
          <w:tcPr>
            <w:tcW w:w="1984" w:type="dxa"/>
            <w:noWrap w:val="0"/>
            <w:vAlign w:val="center"/>
          </w:tcPr>
          <w:p w14:paraId="7A8B2FC9">
            <w:pPr>
              <w:adjustRightInd w:val="0"/>
              <w:snapToGrid w:val="0"/>
              <w:spacing w:line="360" w:lineRule="auto"/>
              <w:jc w:val="center"/>
              <w:rPr>
                <w:rFonts w:hint="eastAsia" w:ascii="仿宋" w:hAnsi="仿宋" w:eastAsia="仿宋" w:cs="仿宋"/>
                <w:szCs w:val="21"/>
              </w:rPr>
            </w:pPr>
            <w:r>
              <w:rPr>
                <w:rFonts w:hint="eastAsia" w:ascii="仿宋" w:hAnsi="仿宋" w:eastAsia="仿宋" w:cs="仿宋"/>
                <w:szCs w:val="21"/>
              </w:rPr>
              <w:t>采纳</w:t>
            </w:r>
          </w:p>
        </w:tc>
        <w:tc>
          <w:tcPr>
            <w:tcW w:w="2134" w:type="dxa"/>
            <w:noWrap w:val="0"/>
            <w:vAlign w:val="center"/>
          </w:tcPr>
          <w:p w14:paraId="16F4AD26">
            <w:pPr>
              <w:adjustRightInd w:val="0"/>
              <w:snapToGrid w:val="0"/>
              <w:spacing w:line="360" w:lineRule="auto"/>
              <w:jc w:val="center"/>
              <w:rPr>
                <w:rFonts w:hint="eastAsia" w:ascii="仿宋" w:hAnsi="仿宋" w:eastAsia="仿宋" w:cs="仿宋"/>
                <w:szCs w:val="21"/>
              </w:rPr>
            </w:pPr>
          </w:p>
        </w:tc>
      </w:tr>
      <w:tr w14:paraId="1EBBB13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50" w:hRule="atLeast"/>
          <w:jc w:val="center"/>
        </w:trPr>
        <w:tc>
          <w:tcPr>
            <w:tcW w:w="650" w:type="dxa"/>
            <w:noWrap w:val="0"/>
            <w:vAlign w:val="center"/>
          </w:tcPr>
          <w:p w14:paraId="1FB06423">
            <w:pPr>
              <w:adjustRightInd w:val="0"/>
              <w:snapToGrid w:val="0"/>
              <w:spacing w:line="360" w:lineRule="auto"/>
              <w:jc w:val="center"/>
              <w:rPr>
                <w:rFonts w:hint="eastAsia" w:ascii="仿宋" w:hAnsi="仿宋" w:eastAsia="仿宋" w:cs="仿宋"/>
                <w:szCs w:val="21"/>
              </w:rPr>
            </w:pPr>
            <w:r>
              <w:rPr>
                <w:rFonts w:hint="eastAsia" w:ascii="仿宋" w:hAnsi="仿宋" w:eastAsia="仿宋" w:cs="仿宋"/>
                <w:szCs w:val="21"/>
              </w:rPr>
              <w:t>5</w:t>
            </w:r>
          </w:p>
        </w:tc>
        <w:tc>
          <w:tcPr>
            <w:tcW w:w="1560" w:type="dxa"/>
            <w:noWrap w:val="0"/>
            <w:vAlign w:val="center"/>
          </w:tcPr>
          <w:p w14:paraId="2AE0CC84">
            <w:pPr>
              <w:adjustRightInd w:val="0"/>
              <w:snapToGrid w:val="0"/>
              <w:spacing w:line="360" w:lineRule="auto"/>
              <w:jc w:val="center"/>
              <w:rPr>
                <w:rFonts w:hint="eastAsia" w:ascii="仿宋" w:hAnsi="仿宋" w:eastAsia="仿宋" w:cs="仿宋"/>
                <w:szCs w:val="21"/>
              </w:rPr>
            </w:pPr>
            <w:r>
              <w:rPr>
                <w:rFonts w:hint="eastAsia" w:ascii="仿宋" w:hAnsi="仿宋" w:eastAsia="仿宋" w:cs="仿宋"/>
                <w:szCs w:val="21"/>
                <w:lang w:val="en-US" w:eastAsia="zh-CN"/>
              </w:rPr>
              <w:t>第5章</w:t>
            </w:r>
          </w:p>
        </w:tc>
        <w:tc>
          <w:tcPr>
            <w:tcW w:w="4110" w:type="dxa"/>
            <w:noWrap w:val="0"/>
            <w:vAlign w:val="center"/>
          </w:tcPr>
          <w:p w14:paraId="2B55765D">
            <w:pPr>
              <w:adjustRightInd w:val="0"/>
              <w:snapToGrid w:val="0"/>
              <w:spacing w:line="360" w:lineRule="auto"/>
              <w:jc w:val="center"/>
              <w:rPr>
                <w:rFonts w:hint="default" w:ascii="仿宋" w:hAnsi="仿宋" w:eastAsia="仿宋" w:cs="仿宋"/>
                <w:szCs w:val="21"/>
                <w:lang w:val="en-US" w:eastAsia="zh-CN"/>
              </w:rPr>
            </w:pPr>
            <w:r>
              <w:rPr>
                <w:rFonts w:hint="eastAsia" w:ascii="仿宋" w:hAnsi="仿宋" w:eastAsia="仿宋" w:cs="仿宋"/>
                <w:bCs/>
                <w:szCs w:val="21"/>
              </w:rPr>
              <w:t>建议</w:t>
            </w:r>
            <w:r>
              <w:rPr>
                <w:rFonts w:hint="eastAsia" w:ascii="仿宋" w:hAnsi="仿宋" w:eastAsia="仿宋" w:cs="仿宋"/>
                <w:bCs/>
                <w:szCs w:val="21"/>
                <w:lang w:val="en-US" w:eastAsia="zh-CN"/>
              </w:rPr>
              <w:t>更新病毒检测的方法</w:t>
            </w:r>
          </w:p>
        </w:tc>
        <w:tc>
          <w:tcPr>
            <w:tcW w:w="3686" w:type="dxa"/>
            <w:noWrap w:val="0"/>
            <w:vAlign w:val="center"/>
          </w:tcPr>
          <w:p w14:paraId="7E0FFAFE">
            <w:pPr>
              <w:adjustRightInd w:val="0"/>
              <w:snapToGrid w:val="0"/>
              <w:spacing w:line="360" w:lineRule="auto"/>
              <w:jc w:val="center"/>
              <w:rPr>
                <w:rFonts w:hint="eastAsia" w:ascii="仿宋" w:hAnsi="仿宋" w:eastAsia="仿宋" w:cs="仿宋"/>
                <w:szCs w:val="21"/>
              </w:rPr>
            </w:pPr>
            <w:r>
              <w:rPr>
                <w:rFonts w:hint="eastAsia" w:ascii="仿宋" w:hAnsi="仿宋" w:eastAsia="仿宋" w:cs="仿宋"/>
                <w:szCs w:val="21"/>
              </w:rPr>
              <w:t>山西农业大学</w:t>
            </w:r>
          </w:p>
        </w:tc>
        <w:tc>
          <w:tcPr>
            <w:tcW w:w="1984" w:type="dxa"/>
            <w:noWrap w:val="0"/>
            <w:vAlign w:val="center"/>
          </w:tcPr>
          <w:p w14:paraId="07A22910">
            <w:pPr>
              <w:adjustRightInd w:val="0"/>
              <w:snapToGrid w:val="0"/>
              <w:spacing w:line="360" w:lineRule="auto"/>
              <w:jc w:val="center"/>
              <w:rPr>
                <w:rFonts w:hint="eastAsia" w:ascii="仿宋" w:hAnsi="仿宋" w:eastAsia="仿宋" w:cs="仿宋"/>
                <w:szCs w:val="21"/>
              </w:rPr>
            </w:pPr>
            <w:r>
              <w:rPr>
                <w:rFonts w:hint="eastAsia" w:ascii="仿宋" w:hAnsi="仿宋" w:eastAsia="仿宋" w:cs="仿宋"/>
                <w:szCs w:val="21"/>
              </w:rPr>
              <w:t>采纳</w:t>
            </w:r>
          </w:p>
        </w:tc>
        <w:tc>
          <w:tcPr>
            <w:tcW w:w="2134" w:type="dxa"/>
            <w:noWrap w:val="0"/>
            <w:vAlign w:val="center"/>
          </w:tcPr>
          <w:p w14:paraId="18BB9B37">
            <w:pPr>
              <w:adjustRightInd w:val="0"/>
              <w:snapToGrid w:val="0"/>
              <w:spacing w:line="360" w:lineRule="auto"/>
              <w:jc w:val="center"/>
              <w:rPr>
                <w:rFonts w:hint="eastAsia" w:ascii="仿宋" w:hAnsi="仿宋" w:eastAsia="仿宋" w:cs="仿宋"/>
                <w:szCs w:val="21"/>
              </w:rPr>
            </w:pPr>
          </w:p>
        </w:tc>
      </w:tr>
      <w:tr w14:paraId="421B473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460" w:hRule="atLeast"/>
          <w:jc w:val="center"/>
        </w:trPr>
        <w:tc>
          <w:tcPr>
            <w:tcW w:w="650" w:type="dxa"/>
            <w:noWrap w:val="0"/>
            <w:vAlign w:val="center"/>
          </w:tcPr>
          <w:p w14:paraId="5EBFEE8C">
            <w:pPr>
              <w:adjustRightInd w:val="0"/>
              <w:snapToGrid w:val="0"/>
              <w:spacing w:line="360" w:lineRule="auto"/>
              <w:jc w:val="center"/>
              <w:rPr>
                <w:rFonts w:hint="eastAsia" w:ascii="仿宋" w:hAnsi="仿宋" w:eastAsia="仿宋" w:cs="仿宋"/>
                <w:szCs w:val="21"/>
              </w:rPr>
            </w:pPr>
          </w:p>
        </w:tc>
        <w:tc>
          <w:tcPr>
            <w:tcW w:w="1560" w:type="dxa"/>
            <w:noWrap w:val="0"/>
            <w:vAlign w:val="center"/>
          </w:tcPr>
          <w:p w14:paraId="6AE0E743">
            <w:pPr>
              <w:adjustRightInd w:val="0"/>
              <w:snapToGrid w:val="0"/>
              <w:spacing w:line="360" w:lineRule="auto"/>
              <w:jc w:val="center"/>
              <w:rPr>
                <w:rFonts w:hint="eastAsia" w:ascii="仿宋" w:hAnsi="仿宋" w:eastAsia="仿宋" w:cs="仿宋"/>
                <w:szCs w:val="21"/>
              </w:rPr>
            </w:pPr>
          </w:p>
        </w:tc>
        <w:tc>
          <w:tcPr>
            <w:tcW w:w="4110" w:type="dxa"/>
            <w:noWrap w:val="0"/>
            <w:vAlign w:val="center"/>
          </w:tcPr>
          <w:p w14:paraId="5E9CC54E">
            <w:pPr>
              <w:adjustRightInd w:val="0"/>
              <w:snapToGrid w:val="0"/>
              <w:spacing w:line="360" w:lineRule="auto"/>
              <w:jc w:val="center"/>
              <w:rPr>
                <w:rFonts w:hint="eastAsia" w:ascii="仿宋" w:hAnsi="仿宋" w:eastAsia="仿宋" w:cs="仿宋"/>
                <w:szCs w:val="21"/>
              </w:rPr>
            </w:pPr>
          </w:p>
        </w:tc>
        <w:tc>
          <w:tcPr>
            <w:tcW w:w="3686" w:type="dxa"/>
            <w:noWrap w:val="0"/>
            <w:vAlign w:val="center"/>
          </w:tcPr>
          <w:p w14:paraId="5BE50E00">
            <w:pPr>
              <w:adjustRightInd w:val="0"/>
              <w:snapToGrid w:val="0"/>
              <w:spacing w:line="360" w:lineRule="auto"/>
              <w:jc w:val="center"/>
              <w:rPr>
                <w:rFonts w:hint="eastAsia" w:ascii="仿宋" w:hAnsi="仿宋" w:eastAsia="仿宋" w:cs="仿宋"/>
                <w:szCs w:val="21"/>
              </w:rPr>
            </w:pPr>
          </w:p>
        </w:tc>
        <w:tc>
          <w:tcPr>
            <w:tcW w:w="1984" w:type="dxa"/>
            <w:noWrap w:val="0"/>
            <w:vAlign w:val="center"/>
          </w:tcPr>
          <w:p w14:paraId="1D2B688C">
            <w:pPr>
              <w:adjustRightInd w:val="0"/>
              <w:snapToGrid w:val="0"/>
              <w:spacing w:line="360" w:lineRule="auto"/>
              <w:jc w:val="center"/>
              <w:rPr>
                <w:rFonts w:hint="eastAsia" w:ascii="仿宋" w:hAnsi="仿宋" w:eastAsia="仿宋" w:cs="仿宋"/>
                <w:szCs w:val="21"/>
              </w:rPr>
            </w:pPr>
          </w:p>
        </w:tc>
        <w:tc>
          <w:tcPr>
            <w:tcW w:w="2134" w:type="dxa"/>
            <w:noWrap w:val="0"/>
            <w:vAlign w:val="center"/>
          </w:tcPr>
          <w:p w14:paraId="0B06F1E7">
            <w:pPr>
              <w:adjustRightInd w:val="0"/>
              <w:snapToGrid w:val="0"/>
              <w:spacing w:line="360" w:lineRule="auto"/>
              <w:jc w:val="center"/>
              <w:rPr>
                <w:rFonts w:hint="eastAsia" w:ascii="仿宋" w:hAnsi="仿宋" w:eastAsia="仿宋" w:cs="仿宋"/>
                <w:szCs w:val="21"/>
              </w:rPr>
            </w:pPr>
          </w:p>
        </w:tc>
      </w:tr>
      <w:tr w14:paraId="6BDABA1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460" w:hRule="atLeast"/>
          <w:jc w:val="center"/>
        </w:trPr>
        <w:tc>
          <w:tcPr>
            <w:tcW w:w="650" w:type="dxa"/>
            <w:noWrap w:val="0"/>
            <w:vAlign w:val="center"/>
          </w:tcPr>
          <w:p w14:paraId="53AC248E">
            <w:pPr>
              <w:adjustRightInd w:val="0"/>
              <w:snapToGrid w:val="0"/>
              <w:spacing w:line="360" w:lineRule="auto"/>
              <w:jc w:val="center"/>
              <w:rPr>
                <w:rFonts w:hint="eastAsia" w:ascii="仿宋" w:hAnsi="仿宋" w:eastAsia="仿宋" w:cs="仿宋"/>
                <w:szCs w:val="21"/>
              </w:rPr>
            </w:pPr>
          </w:p>
        </w:tc>
        <w:tc>
          <w:tcPr>
            <w:tcW w:w="1560" w:type="dxa"/>
            <w:noWrap w:val="0"/>
            <w:vAlign w:val="center"/>
          </w:tcPr>
          <w:p w14:paraId="73AE5259">
            <w:pPr>
              <w:adjustRightInd w:val="0"/>
              <w:snapToGrid w:val="0"/>
              <w:spacing w:line="360" w:lineRule="auto"/>
              <w:jc w:val="center"/>
              <w:rPr>
                <w:rFonts w:hint="eastAsia" w:ascii="仿宋" w:hAnsi="仿宋" w:eastAsia="仿宋" w:cs="仿宋"/>
                <w:szCs w:val="21"/>
              </w:rPr>
            </w:pPr>
          </w:p>
        </w:tc>
        <w:tc>
          <w:tcPr>
            <w:tcW w:w="4110" w:type="dxa"/>
            <w:noWrap w:val="0"/>
            <w:vAlign w:val="center"/>
          </w:tcPr>
          <w:p w14:paraId="69A7FB2E">
            <w:pPr>
              <w:adjustRightInd w:val="0"/>
              <w:snapToGrid w:val="0"/>
              <w:spacing w:line="360" w:lineRule="auto"/>
              <w:jc w:val="center"/>
              <w:rPr>
                <w:rFonts w:hint="eastAsia" w:ascii="仿宋" w:hAnsi="仿宋" w:eastAsia="仿宋" w:cs="仿宋"/>
                <w:szCs w:val="21"/>
              </w:rPr>
            </w:pPr>
          </w:p>
        </w:tc>
        <w:tc>
          <w:tcPr>
            <w:tcW w:w="3686" w:type="dxa"/>
            <w:noWrap w:val="0"/>
            <w:vAlign w:val="center"/>
          </w:tcPr>
          <w:p w14:paraId="2DB6BBA3">
            <w:pPr>
              <w:adjustRightInd w:val="0"/>
              <w:snapToGrid w:val="0"/>
              <w:spacing w:line="360" w:lineRule="auto"/>
              <w:jc w:val="center"/>
              <w:rPr>
                <w:rFonts w:hint="eastAsia" w:ascii="仿宋" w:hAnsi="仿宋" w:eastAsia="仿宋" w:cs="仿宋"/>
                <w:szCs w:val="21"/>
              </w:rPr>
            </w:pPr>
          </w:p>
        </w:tc>
        <w:tc>
          <w:tcPr>
            <w:tcW w:w="1984" w:type="dxa"/>
            <w:noWrap w:val="0"/>
            <w:vAlign w:val="center"/>
          </w:tcPr>
          <w:p w14:paraId="5B8B4A0C">
            <w:pPr>
              <w:adjustRightInd w:val="0"/>
              <w:snapToGrid w:val="0"/>
              <w:spacing w:line="360" w:lineRule="auto"/>
              <w:jc w:val="center"/>
              <w:rPr>
                <w:rFonts w:hint="eastAsia" w:ascii="仿宋" w:hAnsi="仿宋" w:eastAsia="仿宋" w:cs="仿宋"/>
                <w:szCs w:val="21"/>
              </w:rPr>
            </w:pPr>
          </w:p>
        </w:tc>
        <w:tc>
          <w:tcPr>
            <w:tcW w:w="2134" w:type="dxa"/>
            <w:noWrap w:val="0"/>
            <w:vAlign w:val="center"/>
          </w:tcPr>
          <w:p w14:paraId="777FF62B">
            <w:pPr>
              <w:adjustRightInd w:val="0"/>
              <w:snapToGrid w:val="0"/>
              <w:spacing w:line="360" w:lineRule="auto"/>
              <w:jc w:val="center"/>
              <w:rPr>
                <w:rFonts w:hint="eastAsia" w:ascii="仿宋" w:hAnsi="仿宋" w:eastAsia="仿宋" w:cs="仿宋"/>
                <w:szCs w:val="21"/>
              </w:rPr>
            </w:pPr>
          </w:p>
        </w:tc>
      </w:tr>
      <w:tr w14:paraId="70B2CED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460" w:hRule="atLeast"/>
          <w:jc w:val="center"/>
        </w:trPr>
        <w:tc>
          <w:tcPr>
            <w:tcW w:w="650" w:type="dxa"/>
            <w:noWrap w:val="0"/>
            <w:vAlign w:val="center"/>
          </w:tcPr>
          <w:p w14:paraId="3E7F3FB3">
            <w:pPr>
              <w:adjustRightInd w:val="0"/>
              <w:snapToGrid w:val="0"/>
              <w:spacing w:line="360" w:lineRule="auto"/>
              <w:jc w:val="center"/>
              <w:rPr>
                <w:rFonts w:hint="eastAsia" w:ascii="仿宋" w:hAnsi="仿宋" w:eastAsia="仿宋" w:cs="仿宋"/>
                <w:szCs w:val="21"/>
              </w:rPr>
            </w:pPr>
          </w:p>
        </w:tc>
        <w:tc>
          <w:tcPr>
            <w:tcW w:w="1560" w:type="dxa"/>
            <w:noWrap w:val="0"/>
            <w:vAlign w:val="center"/>
          </w:tcPr>
          <w:p w14:paraId="60DDF153">
            <w:pPr>
              <w:adjustRightInd w:val="0"/>
              <w:snapToGrid w:val="0"/>
              <w:spacing w:line="360" w:lineRule="auto"/>
              <w:jc w:val="center"/>
              <w:rPr>
                <w:rFonts w:hint="eastAsia" w:ascii="仿宋" w:hAnsi="仿宋" w:eastAsia="仿宋" w:cs="仿宋"/>
                <w:szCs w:val="21"/>
              </w:rPr>
            </w:pPr>
          </w:p>
        </w:tc>
        <w:tc>
          <w:tcPr>
            <w:tcW w:w="4110" w:type="dxa"/>
            <w:noWrap w:val="0"/>
            <w:vAlign w:val="center"/>
          </w:tcPr>
          <w:p w14:paraId="6267F531">
            <w:pPr>
              <w:adjustRightInd w:val="0"/>
              <w:snapToGrid w:val="0"/>
              <w:spacing w:line="360" w:lineRule="auto"/>
              <w:jc w:val="center"/>
              <w:rPr>
                <w:rFonts w:hint="eastAsia" w:ascii="仿宋" w:hAnsi="仿宋" w:eastAsia="仿宋" w:cs="仿宋"/>
                <w:szCs w:val="21"/>
              </w:rPr>
            </w:pPr>
          </w:p>
        </w:tc>
        <w:tc>
          <w:tcPr>
            <w:tcW w:w="3686" w:type="dxa"/>
            <w:noWrap w:val="0"/>
            <w:vAlign w:val="center"/>
          </w:tcPr>
          <w:p w14:paraId="1AE67D1E">
            <w:pPr>
              <w:adjustRightInd w:val="0"/>
              <w:snapToGrid w:val="0"/>
              <w:spacing w:line="360" w:lineRule="auto"/>
              <w:jc w:val="center"/>
              <w:rPr>
                <w:rFonts w:hint="eastAsia" w:ascii="仿宋" w:hAnsi="仿宋" w:eastAsia="仿宋" w:cs="仿宋"/>
                <w:szCs w:val="21"/>
              </w:rPr>
            </w:pPr>
          </w:p>
        </w:tc>
        <w:tc>
          <w:tcPr>
            <w:tcW w:w="1984" w:type="dxa"/>
            <w:noWrap w:val="0"/>
            <w:vAlign w:val="center"/>
          </w:tcPr>
          <w:p w14:paraId="502AB134">
            <w:pPr>
              <w:adjustRightInd w:val="0"/>
              <w:snapToGrid w:val="0"/>
              <w:spacing w:line="360" w:lineRule="auto"/>
              <w:jc w:val="center"/>
              <w:rPr>
                <w:rFonts w:hint="eastAsia" w:ascii="仿宋" w:hAnsi="仿宋" w:eastAsia="仿宋" w:cs="仿宋"/>
                <w:szCs w:val="21"/>
              </w:rPr>
            </w:pPr>
          </w:p>
        </w:tc>
        <w:tc>
          <w:tcPr>
            <w:tcW w:w="2134" w:type="dxa"/>
            <w:noWrap w:val="0"/>
            <w:vAlign w:val="center"/>
          </w:tcPr>
          <w:p w14:paraId="3CF19998">
            <w:pPr>
              <w:adjustRightInd w:val="0"/>
              <w:snapToGrid w:val="0"/>
              <w:spacing w:line="360" w:lineRule="auto"/>
              <w:jc w:val="center"/>
              <w:rPr>
                <w:rFonts w:hint="eastAsia" w:ascii="仿宋" w:hAnsi="仿宋" w:eastAsia="仿宋" w:cs="仿宋"/>
                <w:szCs w:val="21"/>
              </w:rPr>
            </w:pPr>
          </w:p>
        </w:tc>
      </w:tr>
      <w:tr w14:paraId="0AFEBD5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460" w:hRule="atLeast"/>
          <w:jc w:val="center"/>
        </w:trPr>
        <w:tc>
          <w:tcPr>
            <w:tcW w:w="14124" w:type="dxa"/>
            <w:gridSpan w:val="6"/>
            <w:noWrap w:val="0"/>
            <w:vAlign w:val="center"/>
          </w:tcPr>
          <w:p w14:paraId="5D87F2FB">
            <w:pPr>
              <w:autoSpaceDE w:val="0"/>
              <w:autoSpaceDN w:val="0"/>
              <w:adjustRightInd w:val="0"/>
              <w:jc w:val="left"/>
              <w:rPr>
                <w:rFonts w:hint="eastAsia" w:ascii="仿宋" w:hAnsi="仿宋" w:eastAsia="仿宋" w:cs="仿宋"/>
                <w:kern w:val="0"/>
                <w:szCs w:val="21"/>
              </w:rPr>
            </w:pPr>
            <w:r>
              <w:rPr>
                <w:rFonts w:hint="eastAsia" w:ascii="仿宋" w:hAnsi="仿宋" w:eastAsia="仿宋" w:cs="仿宋"/>
                <w:kern w:val="0"/>
                <w:szCs w:val="21"/>
              </w:rPr>
              <w:t>说明：1、针对明确回复无意见的单位，请在“意见内容”中注明无意见，在“提出单位”中列出无意见单位的名称。</w:t>
            </w:r>
          </w:p>
          <w:p w14:paraId="54959F7E">
            <w:pPr>
              <w:autoSpaceDE w:val="0"/>
              <w:autoSpaceDN w:val="0"/>
              <w:adjustRightInd w:val="0"/>
              <w:ind w:firstLine="630" w:firstLineChars="300"/>
              <w:jc w:val="left"/>
              <w:rPr>
                <w:rFonts w:hint="eastAsia" w:ascii="仿宋" w:hAnsi="仿宋" w:eastAsia="仿宋" w:cs="仿宋"/>
                <w:kern w:val="0"/>
                <w:szCs w:val="21"/>
              </w:rPr>
            </w:pPr>
            <w:r>
              <w:rPr>
                <w:rFonts w:hint="eastAsia" w:ascii="仿宋" w:hAnsi="仿宋" w:eastAsia="仿宋" w:cs="仿宋"/>
                <w:kern w:val="0"/>
                <w:szCs w:val="21"/>
              </w:rPr>
              <w:t>2、发送征求意见稿单位数5个；回到征求意见稿回函的单位数5个；收到征求意见稿并提出意见的单位数5个；没有回函的单位数0个；共收到5条意见，采纳5条意见，部分采纳0条意见，未采纳0条意见。</w:t>
            </w:r>
          </w:p>
        </w:tc>
      </w:tr>
    </w:tbl>
    <w:p w14:paraId="20E3CEBB">
      <w:pPr>
        <w:spacing w:line="360" w:lineRule="auto"/>
        <w:rPr>
          <w:rFonts w:hint="eastAsia" w:ascii="仿宋" w:hAnsi="仿宋" w:eastAsia="仿宋" w:cs="仿宋"/>
          <w:sz w:val="24"/>
          <w:lang w:val="en-US" w:eastAsia="zh-CN"/>
        </w:rPr>
      </w:pPr>
    </w:p>
    <w:sectPr>
      <w:pgSz w:w="16838" w:h="11906" w:orient="landscape"/>
      <w:pgMar w:top="1800" w:right="1440" w:bottom="1800" w:left="1440" w:header="851" w:footer="992" w:gutter="0"/>
      <w:pgNumType w:fmt="numberInDash" w:start="1"/>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93B64">
    <w:pPr>
      <w:pStyle w:val="2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8BEDF5E">
                          <w:pPr>
                            <w:pStyle w:val="11"/>
                          </w:pPr>
                          <w:r>
                            <w:fldChar w:fldCharType="begin"/>
                          </w:r>
                          <w:r>
                            <w:instrText xml:space="preserve"> PAGE  \* MERGEFORMAT </w:instrText>
                          </w:r>
                          <w:r>
                            <w:fldChar w:fldCharType="separate"/>
                          </w:r>
                          <w:r>
                            <w:t>- 3 -</w:t>
                          </w:r>
                          <w:r>
                            <w:fldChar w:fldCharType="end"/>
                          </w:r>
                        </w:p>
                      </w:txbxContent>
                    </wps:txbx>
                    <wps:bodyPr wrap="none" lIns="0" tIns="0" rIns="0" bIns="0" upright="0">
                      <a:spAutoFit/>
                    </wps:bodyPr>
                  </wps:wsp>
                </a:graphicData>
              </a:graphic>
            </wp:anchor>
          </w:drawing>
        </mc:Choice>
        <mc:Fallback>
          <w:pict>
            <v:shape id="文本框 1037"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Jt+mLLLAQAAnAMAAA4AAAAAAAAAAQAgAAAAHgEAAGRycy9lMm9E&#10;b2MueG1sUEsFBgAAAAAGAAYAWQEAAFsFAAAAAA==&#10;">
              <v:fill on="f" focussize="0,0"/>
              <v:stroke on="f"/>
              <v:imagedata o:title=""/>
              <o:lock v:ext="edit" aspectratio="f"/>
              <v:textbox inset="0mm,0mm,0mm,0mm" style="mso-fit-shape-to-text:t;">
                <w:txbxContent>
                  <w:p w14:paraId="38BEDF5E">
                    <w:pPr>
                      <w:pStyle w:val="11"/>
                    </w:pPr>
                    <w:r>
                      <w:fldChar w:fldCharType="begin"/>
                    </w:r>
                    <w:r>
                      <w:instrText xml:space="preserve"> PAGE  \* MERGEFORMAT </w:instrText>
                    </w:r>
                    <w:r>
                      <w:fldChar w:fldCharType="separate"/>
                    </w:r>
                    <w:r>
                      <w:t>- 3 -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64108">
    <w:pPr>
      <w:pStyle w:val="12"/>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A08D5F"/>
    <w:multiLevelType w:val="singleLevel"/>
    <w:tmpl w:val="A3A08D5F"/>
    <w:lvl w:ilvl="0" w:tentative="0">
      <w:start w:val="6"/>
      <w:numFmt w:val="chineseCounting"/>
      <w:suff w:val="nothing"/>
      <w:lvlText w:val="%1、"/>
      <w:lvlJc w:val="left"/>
      <w:rPr>
        <w:rFonts w:hint="eastAsia"/>
      </w:rPr>
    </w:lvl>
  </w:abstractNum>
  <w:abstractNum w:abstractNumId="1">
    <w:nsid w:val="1FC91163"/>
    <w:multiLevelType w:val="multilevel"/>
    <w:tmpl w:val="1FC91163"/>
    <w:lvl w:ilvl="0" w:tentative="0">
      <w:start w:val="1"/>
      <w:numFmt w:val="decimal"/>
      <w:pStyle w:val="30"/>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RlMThjNDViNWI4MDZkMTU1OTQzNTFhNzE1NWI5ZGYifQ=="/>
  </w:docVars>
  <w:rsids>
    <w:rsidRoot w:val="00F3231C"/>
    <w:rsid w:val="00001A95"/>
    <w:rsid w:val="0000211B"/>
    <w:rsid w:val="0000415E"/>
    <w:rsid w:val="00004553"/>
    <w:rsid w:val="000049A3"/>
    <w:rsid w:val="000054A1"/>
    <w:rsid w:val="00007538"/>
    <w:rsid w:val="0001543B"/>
    <w:rsid w:val="00015809"/>
    <w:rsid w:val="000163D9"/>
    <w:rsid w:val="0002052E"/>
    <w:rsid w:val="00021E08"/>
    <w:rsid w:val="0002347B"/>
    <w:rsid w:val="0002609C"/>
    <w:rsid w:val="00026FA5"/>
    <w:rsid w:val="00033BD4"/>
    <w:rsid w:val="00034DD6"/>
    <w:rsid w:val="000444A7"/>
    <w:rsid w:val="000451C8"/>
    <w:rsid w:val="00052159"/>
    <w:rsid w:val="00056005"/>
    <w:rsid w:val="00061993"/>
    <w:rsid w:val="000661B2"/>
    <w:rsid w:val="000663A4"/>
    <w:rsid w:val="0006653D"/>
    <w:rsid w:val="00071DFE"/>
    <w:rsid w:val="000735E6"/>
    <w:rsid w:val="00083B3F"/>
    <w:rsid w:val="00085096"/>
    <w:rsid w:val="00085213"/>
    <w:rsid w:val="000853DC"/>
    <w:rsid w:val="00085624"/>
    <w:rsid w:val="00086BD3"/>
    <w:rsid w:val="000873BF"/>
    <w:rsid w:val="00087726"/>
    <w:rsid w:val="00092689"/>
    <w:rsid w:val="00097220"/>
    <w:rsid w:val="000A0BA6"/>
    <w:rsid w:val="000A635D"/>
    <w:rsid w:val="000A645C"/>
    <w:rsid w:val="000A64A7"/>
    <w:rsid w:val="000A7464"/>
    <w:rsid w:val="000B0A70"/>
    <w:rsid w:val="000B1EEF"/>
    <w:rsid w:val="000B5528"/>
    <w:rsid w:val="000B56BF"/>
    <w:rsid w:val="000B6B37"/>
    <w:rsid w:val="000C0E46"/>
    <w:rsid w:val="000C3283"/>
    <w:rsid w:val="000C620A"/>
    <w:rsid w:val="000C7AA3"/>
    <w:rsid w:val="000D3A2E"/>
    <w:rsid w:val="000D4F42"/>
    <w:rsid w:val="000D5448"/>
    <w:rsid w:val="000D5733"/>
    <w:rsid w:val="000D5EAF"/>
    <w:rsid w:val="000D6E26"/>
    <w:rsid w:val="000E5AEC"/>
    <w:rsid w:val="000E6B09"/>
    <w:rsid w:val="000E76AC"/>
    <w:rsid w:val="000F0009"/>
    <w:rsid w:val="000F0F40"/>
    <w:rsid w:val="000F2E0C"/>
    <w:rsid w:val="000F3D0E"/>
    <w:rsid w:val="000F4432"/>
    <w:rsid w:val="000F5A2F"/>
    <w:rsid w:val="00100071"/>
    <w:rsid w:val="00103EE0"/>
    <w:rsid w:val="00104C12"/>
    <w:rsid w:val="00105DFA"/>
    <w:rsid w:val="00105F2F"/>
    <w:rsid w:val="0010630B"/>
    <w:rsid w:val="00107199"/>
    <w:rsid w:val="00107D02"/>
    <w:rsid w:val="001144D2"/>
    <w:rsid w:val="00125828"/>
    <w:rsid w:val="0012790B"/>
    <w:rsid w:val="001307B7"/>
    <w:rsid w:val="001356DF"/>
    <w:rsid w:val="00137E28"/>
    <w:rsid w:val="00146F03"/>
    <w:rsid w:val="00150395"/>
    <w:rsid w:val="00152021"/>
    <w:rsid w:val="0015412A"/>
    <w:rsid w:val="00154D08"/>
    <w:rsid w:val="001553FE"/>
    <w:rsid w:val="00160841"/>
    <w:rsid w:val="001640C5"/>
    <w:rsid w:val="00164C0A"/>
    <w:rsid w:val="00164C36"/>
    <w:rsid w:val="00165A20"/>
    <w:rsid w:val="00165DD5"/>
    <w:rsid w:val="001660AA"/>
    <w:rsid w:val="0016673B"/>
    <w:rsid w:val="0017609E"/>
    <w:rsid w:val="001779F1"/>
    <w:rsid w:val="00177F01"/>
    <w:rsid w:val="0018238D"/>
    <w:rsid w:val="001835D9"/>
    <w:rsid w:val="00183774"/>
    <w:rsid w:val="00183952"/>
    <w:rsid w:val="0018408D"/>
    <w:rsid w:val="00184A34"/>
    <w:rsid w:val="0018515D"/>
    <w:rsid w:val="0018733E"/>
    <w:rsid w:val="00187DC9"/>
    <w:rsid w:val="00197285"/>
    <w:rsid w:val="00197C80"/>
    <w:rsid w:val="001A2683"/>
    <w:rsid w:val="001A3D9D"/>
    <w:rsid w:val="001B1CBE"/>
    <w:rsid w:val="001B4715"/>
    <w:rsid w:val="001C054A"/>
    <w:rsid w:val="001C2D08"/>
    <w:rsid w:val="001C541C"/>
    <w:rsid w:val="001C6352"/>
    <w:rsid w:val="001C79AB"/>
    <w:rsid w:val="001D1298"/>
    <w:rsid w:val="001D1604"/>
    <w:rsid w:val="001E4B7E"/>
    <w:rsid w:val="001E5978"/>
    <w:rsid w:val="001E656E"/>
    <w:rsid w:val="001E6769"/>
    <w:rsid w:val="001F13B8"/>
    <w:rsid w:val="001F24CC"/>
    <w:rsid w:val="001F31C6"/>
    <w:rsid w:val="001F5811"/>
    <w:rsid w:val="001F5C46"/>
    <w:rsid w:val="001F5CC5"/>
    <w:rsid w:val="00201AD7"/>
    <w:rsid w:val="00202064"/>
    <w:rsid w:val="002046F3"/>
    <w:rsid w:val="0020561F"/>
    <w:rsid w:val="00210460"/>
    <w:rsid w:val="00211109"/>
    <w:rsid w:val="00212F8F"/>
    <w:rsid w:val="00213A17"/>
    <w:rsid w:val="00213B85"/>
    <w:rsid w:val="00214186"/>
    <w:rsid w:val="0022737F"/>
    <w:rsid w:val="00227F17"/>
    <w:rsid w:val="0023122A"/>
    <w:rsid w:val="00231D5D"/>
    <w:rsid w:val="00232AC6"/>
    <w:rsid w:val="002367AA"/>
    <w:rsid w:val="00237114"/>
    <w:rsid w:val="00240899"/>
    <w:rsid w:val="00242482"/>
    <w:rsid w:val="00250B2E"/>
    <w:rsid w:val="002517B3"/>
    <w:rsid w:val="002523BB"/>
    <w:rsid w:val="00252978"/>
    <w:rsid w:val="0025635B"/>
    <w:rsid w:val="00256807"/>
    <w:rsid w:val="00262D90"/>
    <w:rsid w:val="002636C5"/>
    <w:rsid w:val="002649C9"/>
    <w:rsid w:val="002652D0"/>
    <w:rsid w:val="00266868"/>
    <w:rsid w:val="00266AE6"/>
    <w:rsid w:val="00273E6F"/>
    <w:rsid w:val="002743E4"/>
    <w:rsid w:val="00280C05"/>
    <w:rsid w:val="00283E44"/>
    <w:rsid w:val="00283F32"/>
    <w:rsid w:val="002840E0"/>
    <w:rsid w:val="00284FE1"/>
    <w:rsid w:val="00286CDD"/>
    <w:rsid w:val="00290A7B"/>
    <w:rsid w:val="002917F5"/>
    <w:rsid w:val="00292068"/>
    <w:rsid w:val="00292B25"/>
    <w:rsid w:val="00293154"/>
    <w:rsid w:val="002931C3"/>
    <w:rsid w:val="00293B14"/>
    <w:rsid w:val="00293FC3"/>
    <w:rsid w:val="0029472F"/>
    <w:rsid w:val="00294D3C"/>
    <w:rsid w:val="002961A2"/>
    <w:rsid w:val="00296405"/>
    <w:rsid w:val="002A16C6"/>
    <w:rsid w:val="002A31CE"/>
    <w:rsid w:val="002A5ABC"/>
    <w:rsid w:val="002A7E40"/>
    <w:rsid w:val="002B1879"/>
    <w:rsid w:val="002B4CC6"/>
    <w:rsid w:val="002C0A82"/>
    <w:rsid w:val="002C1F18"/>
    <w:rsid w:val="002C2AF3"/>
    <w:rsid w:val="002C78BF"/>
    <w:rsid w:val="002D02EB"/>
    <w:rsid w:val="002D1544"/>
    <w:rsid w:val="002D36E1"/>
    <w:rsid w:val="002D4942"/>
    <w:rsid w:val="002D4D36"/>
    <w:rsid w:val="002D5291"/>
    <w:rsid w:val="002D7FB9"/>
    <w:rsid w:val="002E02E2"/>
    <w:rsid w:val="002E192F"/>
    <w:rsid w:val="002F18F8"/>
    <w:rsid w:val="002F2F21"/>
    <w:rsid w:val="002F35F2"/>
    <w:rsid w:val="002F3784"/>
    <w:rsid w:val="002F452F"/>
    <w:rsid w:val="002F608D"/>
    <w:rsid w:val="002F708D"/>
    <w:rsid w:val="00302616"/>
    <w:rsid w:val="00302EF2"/>
    <w:rsid w:val="00303CE2"/>
    <w:rsid w:val="00306873"/>
    <w:rsid w:val="0031044B"/>
    <w:rsid w:val="00310AEC"/>
    <w:rsid w:val="00311399"/>
    <w:rsid w:val="00312CB6"/>
    <w:rsid w:val="0031470A"/>
    <w:rsid w:val="00314D80"/>
    <w:rsid w:val="00315AE0"/>
    <w:rsid w:val="00320C48"/>
    <w:rsid w:val="00323B63"/>
    <w:rsid w:val="0032469F"/>
    <w:rsid w:val="0032696A"/>
    <w:rsid w:val="00327FA5"/>
    <w:rsid w:val="00331BC3"/>
    <w:rsid w:val="003331DF"/>
    <w:rsid w:val="003352C7"/>
    <w:rsid w:val="00336027"/>
    <w:rsid w:val="00336FD5"/>
    <w:rsid w:val="003400AF"/>
    <w:rsid w:val="003432B8"/>
    <w:rsid w:val="0034492B"/>
    <w:rsid w:val="00345A28"/>
    <w:rsid w:val="00346E88"/>
    <w:rsid w:val="00350FB5"/>
    <w:rsid w:val="00352005"/>
    <w:rsid w:val="00352BB0"/>
    <w:rsid w:val="00353292"/>
    <w:rsid w:val="00353BB2"/>
    <w:rsid w:val="00354963"/>
    <w:rsid w:val="0035501D"/>
    <w:rsid w:val="00355115"/>
    <w:rsid w:val="003564A3"/>
    <w:rsid w:val="003565B4"/>
    <w:rsid w:val="003609BD"/>
    <w:rsid w:val="00361D9D"/>
    <w:rsid w:val="00362683"/>
    <w:rsid w:val="003633AC"/>
    <w:rsid w:val="00363502"/>
    <w:rsid w:val="00365DCB"/>
    <w:rsid w:val="003669F3"/>
    <w:rsid w:val="0037106C"/>
    <w:rsid w:val="00371449"/>
    <w:rsid w:val="00371A0C"/>
    <w:rsid w:val="00372A2B"/>
    <w:rsid w:val="00375460"/>
    <w:rsid w:val="00377F7A"/>
    <w:rsid w:val="003831A0"/>
    <w:rsid w:val="003863B3"/>
    <w:rsid w:val="00390EEB"/>
    <w:rsid w:val="0039155E"/>
    <w:rsid w:val="003929FA"/>
    <w:rsid w:val="00392AF3"/>
    <w:rsid w:val="00393282"/>
    <w:rsid w:val="003940FA"/>
    <w:rsid w:val="00396566"/>
    <w:rsid w:val="003A0784"/>
    <w:rsid w:val="003A0A34"/>
    <w:rsid w:val="003A145A"/>
    <w:rsid w:val="003A7067"/>
    <w:rsid w:val="003B2466"/>
    <w:rsid w:val="003B4F91"/>
    <w:rsid w:val="003C071E"/>
    <w:rsid w:val="003C1F8F"/>
    <w:rsid w:val="003C2639"/>
    <w:rsid w:val="003C264C"/>
    <w:rsid w:val="003C5C10"/>
    <w:rsid w:val="003C5CC0"/>
    <w:rsid w:val="003D4E6B"/>
    <w:rsid w:val="003D5896"/>
    <w:rsid w:val="003D7762"/>
    <w:rsid w:val="003E0521"/>
    <w:rsid w:val="003E472B"/>
    <w:rsid w:val="003E5708"/>
    <w:rsid w:val="003F1FDE"/>
    <w:rsid w:val="003F2D23"/>
    <w:rsid w:val="003F3D86"/>
    <w:rsid w:val="003F4E34"/>
    <w:rsid w:val="0040077F"/>
    <w:rsid w:val="00401241"/>
    <w:rsid w:val="00402086"/>
    <w:rsid w:val="004041E8"/>
    <w:rsid w:val="004056D7"/>
    <w:rsid w:val="00407C09"/>
    <w:rsid w:val="004101F5"/>
    <w:rsid w:val="00410319"/>
    <w:rsid w:val="00411532"/>
    <w:rsid w:val="0041667C"/>
    <w:rsid w:val="0042045D"/>
    <w:rsid w:val="00421AD0"/>
    <w:rsid w:val="00425862"/>
    <w:rsid w:val="004259A9"/>
    <w:rsid w:val="00426877"/>
    <w:rsid w:val="00426B7B"/>
    <w:rsid w:val="00427E42"/>
    <w:rsid w:val="004332F1"/>
    <w:rsid w:val="004347A3"/>
    <w:rsid w:val="00435B72"/>
    <w:rsid w:val="004370ED"/>
    <w:rsid w:val="00442F7A"/>
    <w:rsid w:val="004451FE"/>
    <w:rsid w:val="00446F9A"/>
    <w:rsid w:val="00450685"/>
    <w:rsid w:val="00450B7A"/>
    <w:rsid w:val="004516B4"/>
    <w:rsid w:val="00451938"/>
    <w:rsid w:val="00455429"/>
    <w:rsid w:val="004602F7"/>
    <w:rsid w:val="0046046B"/>
    <w:rsid w:val="00460757"/>
    <w:rsid w:val="00462E14"/>
    <w:rsid w:val="00463E6C"/>
    <w:rsid w:val="00466B62"/>
    <w:rsid w:val="00471F9C"/>
    <w:rsid w:val="00473C46"/>
    <w:rsid w:val="00480D09"/>
    <w:rsid w:val="00480FEF"/>
    <w:rsid w:val="00481A5C"/>
    <w:rsid w:val="0048313D"/>
    <w:rsid w:val="00483161"/>
    <w:rsid w:val="00483AFA"/>
    <w:rsid w:val="004845E8"/>
    <w:rsid w:val="004852D5"/>
    <w:rsid w:val="0048576D"/>
    <w:rsid w:val="00490682"/>
    <w:rsid w:val="00490C0A"/>
    <w:rsid w:val="004A0C89"/>
    <w:rsid w:val="004A25E4"/>
    <w:rsid w:val="004A35C1"/>
    <w:rsid w:val="004A3930"/>
    <w:rsid w:val="004A4882"/>
    <w:rsid w:val="004A6354"/>
    <w:rsid w:val="004A7362"/>
    <w:rsid w:val="004B0902"/>
    <w:rsid w:val="004B0D6E"/>
    <w:rsid w:val="004B1368"/>
    <w:rsid w:val="004B1E69"/>
    <w:rsid w:val="004B2F1F"/>
    <w:rsid w:val="004B3A86"/>
    <w:rsid w:val="004B5861"/>
    <w:rsid w:val="004B6085"/>
    <w:rsid w:val="004B6912"/>
    <w:rsid w:val="004C1C48"/>
    <w:rsid w:val="004C20EB"/>
    <w:rsid w:val="004C3BF2"/>
    <w:rsid w:val="004C54B5"/>
    <w:rsid w:val="004C5C50"/>
    <w:rsid w:val="004C69E4"/>
    <w:rsid w:val="004C7334"/>
    <w:rsid w:val="004D0E26"/>
    <w:rsid w:val="004D2A59"/>
    <w:rsid w:val="004D5A0B"/>
    <w:rsid w:val="004D6CC0"/>
    <w:rsid w:val="004E40B5"/>
    <w:rsid w:val="004E464E"/>
    <w:rsid w:val="004E58BA"/>
    <w:rsid w:val="004E7C40"/>
    <w:rsid w:val="004F2CD3"/>
    <w:rsid w:val="004F4CDE"/>
    <w:rsid w:val="005011F0"/>
    <w:rsid w:val="00501838"/>
    <w:rsid w:val="005022E1"/>
    <w:rsid w:val="00502F8E"/>
    <w:rsid w:val="00503D72"/>
    <w:rsid w:val="00503FD6"/>
    <w:rsid w:val="00510554"/>
    <w:rsid w:val="005135B3"/>
    <w:rsid w:val="00513E4E"/>
    <w:rsid w:val="005147E1"/>
    <w:rsid w:val="0051526B"/>
    <w:rsid w:val="0051528C"/>
    <w:rsid w:val="00523846"/>
    <w:rsid w:val="00524294"/>
    <w:rsid w:val="00531CB5"/>
    <w:rsid w:val="00531FC3"/>
    <w:rsid w:val="00534378"/>
    <w:rsid w:val="00534553"/>
    <w:rsid w:val="00536D81"/>
    <w:rsid w:val="00540A61"/>
    <w:rsid w:val="00543287"/>
    <w:rsid w:val="00543B9B"/>
    <w:rsid w:val="00543BF4"/>
    <w:rsid w:val="00543C5E"/>
    <w:rsid w:val="00543CE0"/>
    <w:rsid w:val="005448E9"/>
    <w:rsid w:val="005502D2"/>
    <w:rsid w:val="00550420"/>
    <w:rsid w:val="00550C8E"/>
    <w:rsid w:val="00551C62"/>
    <w:rsid w:val="00553537"/>
    <w:rsid w:val="00553D6A"/>
    <w:rsid w:val="00554576"/>
    <w:rsid w:val="00554B5F"/>
    <w:rsid w:val="00555559"/>
    <w:rsid w:val="00555954"/>
    <w:rsid w:val="00555D64"/>
    <w:rsid w:val="00555FCB"/>
    <w:rsid w:val="005658FF"/>
    <w:rsid w:val="00575D0A"/>
    <w:rsid w:val="0057635C"/>
    <w:rsid w:val="0057659C"/>
    <w:rsid w:val="00577C25"/>
    <w:rsid w:val="00580BAF"/>
    <w:rsid w:val="0058766E"/>
    <w:rsid w:val="005879CE"/>
    <w:rsid w:val="005916F2"/>
    <w:rsid w:val="005932BC"/>
    <w:rsid w:val="00594B26"/>
    <w:rsid w:val="00597F49"/>
    <w:rsid w:val="005A2CA5"/>
    <w:rsid w:val="005A3CDF"/>
    <w:rsid w:val="005A5473"/>
    <w:rsid w:val="005A5DD5"/>
    <w:rsid w:val="005B0E05"/>
    <w:rsid w:val="005B11C0"/>
    <w:rsid w:val="005B2755"/>
    <w:rsid w:val="005B2C90"/>
    <w:rsid w:val="005B5A86"/>
    <w:rsid w:val="005B63BE"/>
    <w:rsid w:val="005B6569"/>
    <w:rsid w:val="005B7233"/>
    <w:rsid w:val="005C031C"/>
    <w:rsid w:val="005C102D"/>
    <w:rsid w:val="005C1178"/>
    <w:rsid w:val="005C27E4"/>
    <w:rsid w:val="005C76BC"/>
    <w:rsid w:val="005D1052"/>
    <w:rsid w:val="005D1436"/>
    <w:rsid w:val="005D1732"/>
    <w:rsid w:val="005D4E65"/>
    <w:rsid w:val="005D4EC7"/>
    <w:rsid w:val="005E05B7"/>
    <w:rsid w:val="005E1091"/>
    <w:rsid w:val="005E1625"/>
    <w:rsid w:val="005E17DB"/>
    <w:rsid w:val="005E4224"/>
    <w:rsid w:val="005E4498"/>
    <w:rsid w:val="005E5040"/>
    <w:rsid w:val="005E5B54"/>
    <w:rsid w:val="005E6945"/>
    <w:rsid w:val="005F059A"/>
    <w:rsid w:val="005F1B25"/>
    <w:rsid w:val="005F2C49"/>
    <w:rsid w:val="005F4C47"/>
    <w:rsid w:val="005F5824"/>
    <w:rsid w:val="0060190C"/>
    <w:rsid w:val="006019E8"/>
    <w:rsid w:val="0060236D"/>
    <w:rsid w:val="006045DF"/>
    <w:rsid w:val="00604635"/>
    <w:rsid w:val="006050F5"/>
    <w:rsid w:val="00605E05"/>
    <w:rsid w:val="0060647E"/>
    <w:rsid w:val="0060723A"/>
    <w:rsid w:val="006112AD"/>
    <w:rsid w:val="006121C4"/>
    <w:rsid w:val="00613A95"/>
    <w:rsid w:val="0061539A"/>
    <w:rsid w:val="00616797"/>
    <w:rsid w:val="00617788"/>
    <w:rsid w:val="00620132"/>
    <w:rsid w:val="0062243C"/>
    <w:rsid w:val="0062398C"/>
    <w:rsid w:val="0062672C"/>
    <w:rsid w:val="00627540"/>
    <w:rsid w:val="00627F0A"/>
    <w:rsid w:val="00631203"/>
    <w:rsid w:val="00632C87"/>
    <w:rsid w:val="006349E1"/>
    <w:rsid w:val="00636695"/>
    <w:rsid w:val="00636B9C"/>
    <w:rsid w:val="00636DB6"/>
    <w:rsid w:val="00636EAE"/>
    <w:rsid w:val="00640EDD"/>
    <w:rsid w:val="00641C4E"/>
    <w:rsid w:val="0064220D"/>
    <w:rsid w:val="00642FAE"/>
    <w:rsid w:val="00643E53"/>
    <w:rsid w:val="0064450C"/>
    <w:rsid w:val="006468FF"/>
    <w:rsid w:val="006500B6"/>
    <w:rsid w:val="00651007"/>
    <w:rsid w:val="0065583B"/>
    <w:rsid w:val="00655E12"/>
    <w:rsid w:val="006569B6"/>
    <w:rsid w:val="00656B92"/>
    <w:rsid w:val="00657B90"/>
    <w:rsid w:val="0066008C"/>
    <w:rsid w:val="00660185"/>
    <w:rsid w:val="00660BD0"/>
    <w:rsid w:val="00661074"/>
    <w:rsid w:val="00661105"/>
    <w:rsid w:val="0066313B"/>
    <w:rsid w:val="0066322D"/>
    <w:rsid w:val="006636DA"/>
    <w:rsid w:val="0066450E"/>
    <w:rsid w:val="00665C37"/>
    <w:rsid w:val="006666EF"/>
    <w:rsid w:val="00667770"/>
    <w:rsid w:val="00667F80"/>
    <w:rsid w:val="00672371"/>
    <w:rsid w:val="0067247D"/>
    <w:rsid w:val="006773E6"/>
    <w:rsid w:val="00680290"/>
    <w:rsid w:val="00682C52"/>
    <w:rsid w:val="006830AA"/>
    <w:rsid w:val="00684204"/>
    <w:rsid w:val="00684ECA"/>
    <w:rsid w:val="0068511B"/>
    <w:rsid w:val="00685A02"/>
    <w:rsid w:val="00690DD1"/>
    <w:rsid w:val="00692D07"/>
    <w:rsid w:val="0069343B"/>
    <w:rsid w:val="00695055"/>
    <w:rsid w:val="006969D4"/>
    <w:rsid w:val="00696A28"/>
    <w:rsid w:val="00696A54"/>
    <w:rsid w:val="006A06A0"/>
    <w:rsid w:val="006A1BDA"/>
    <w:rsid w:val="006A203F"/>
    <w:rsid w:val="006A2816"/>
    <w:rsid w:val="006A4AF9"/>
    <w:rsid w:val="006A5541"/>
    <w:rsid w:val="006A55B5"/>
    <w:rsid w:val="006A654A"/>
    <w:rsid w:val="006A7650"/>
    <w:rsid w:val="006B1048"/>
    <w:rsid w:val="006B1133"/>
    <w:rsid w:val="006B1C7A"/>
    <w:rsid w:val="006B2B76"/>
    <w:rsid w:val="006B3174"/>
    <w:rsid w:val="006C2796"/>
    <w:rsid w:val="006D2DB3"/>
    <w:rsid w:val="006D6FCC"/>
    <w:rsid w:val="006D78A9"/>
    <w:rsid w:val="006E0734"/>
    <w:rsid w:val="006F4178"/>
    <w:rsid w:val="0070282F"/>
    <w:rsid w:val="007042AA"/>
    <w:rsid w:val="0070522C"/>
    <w:rsid w:val="007059F0"/>
    <w:rsid w:val="00707B8C"/>
    <w:rsid w:val="00710CD2"/>
    <w:rsid w:val="00711A73"/>
    <w:rsid w:val="00711E95"/>
    <w:rsid w:val="007127D4"/>
    <w:rsid w:val="007127F9"/>
    <w:rsid w:val="00713B8E"/>
    <w:rsid w:val="0071499D"/>
    <w:rsid w:val="00716134"/>
    <w:rsid w:val="00721867"/>
    <w:rsid w:val="00726FFC"/>
    <w:rsid w:val="0073034B"/>
    <w:rsid w:val="00731702"/>
    <w:rsid w:val="00733702"/>
    <w:rsid w:val="00734C98"/>
    <w:rsid w:val="00735278"/>
    <w:rsid w:val="00737E42"/>
    <w:rsid w:val="007400F5"/>
    <w:rsid w:val="00743D8D"/>
    <w:rsid w:val="00744E82"/>
    <w:rsid w:val="00746DA0"/>
    <w:rsid w:val="00751864"/>
    <w:rsid w:val="007518D6"/>
    <w:rsid w:val="00753DF7"/>
    <w:rsid w:val="00755CE8"/>
    <w:rsid w:val="00757CBC"/>
    <w:rsid w:val="007623FC"/>
    <w:rsid w:val="007625E9"/>
    <w:rsid w:val="00764425"/>
    <w:rsid w:val="00764F5E"/>
    <w:rsid w:val="00765B40"/>
    <w:rsid w:val="0076614D"/>
    <w:rsid w:val="00766853"/>
    <w:rsid w:val="007671C9"/>
    <w:rsid w:val="007703D2"/>
    <w:rsid w:val="0077579C"/>
    <w:rsid w:val="007761D6"/>
    <w:rsid w:val="00776D6E"/>
    <w:rsid w:val="00777142"/>
    <w:rsid w:val="0077787C"/>
    <w:rsid w:val="007809FB"/>
    <w:rsid w:val="00781D86"/>
    <w:rsid w:val="00781E6C"/>
    <w:rsid w:val="00781F1E"/>
    <w:rsid w:val="00785D5E"/>
    <w:rsid w:val="007904DC"/>
    <w:rsid w:val="00792901"/>
    <w:rsid w:val="007956DA"/>
    <w:rsid w:val="007A019D"/>
    <w:rsid w:val="007A0FFB"/>
    <w:rsid w:val="007A2EDF"/>
    <w:rsid w:val="007A45D9"/>
    <w:rsid w:val="007A6AC0"/>
    <w:rsid w:val="007A6B70"/>
    <w:rsid w:val="007A7829"/>
    <w:rsid w:val="007B1BDD"/>
    <w:rsid w:val="007B1EF3"/>
    <w:rsid w:val="007B376A"/>
    <w:rsid w:val="007B4B6A"/>
    <w:rsid w:val="007C2489"/>
    <w:rsid w:val="007C24F3"/>
    <w:rsid w:val="007C2F38"/>
    <w:rsid w:val="007C50B0"/>
    <w:rsid w:val="007C557B"/>
    <w:rsid w:val="007C5B93"/>
    <w:rsid w:val="007C6ED1"/>
    <w:rsid w:val="007C7A0B"/>
    <w:rsid w:val="007D2FE2"/>
    <w:rsid w:val="007D6F3A"/>
    <w:rsid w:val="007E6D06"/>
    <w:rsid w:val="007E703D"/>
    <w:rsid w:val="007E7658"/>
    <w:rsid w:val="007F17E8"/>
    <w:rsid w:val="007F4837"/>
    <w:rsid w:val="007F647A"/>
    <w:rsid w:val="007F795A"/>
    <w:rsid w:val="007F7B2A"/>
    <w:rsid w:val="00801552"/>
    <w:rsid w:val="0080368A"/>
    <w:rsid w:val="00810250"/>
    <w:rsid w:val="008108A9"/>
    <w:rsid w:val="00810910"/>
    <w:rsid w:val="00811A2D"/>
    <w:rsid w:val="00811A81"/>
    <w:rsid w:val="00815D70"/>
    <w:rsid w:val="00817431"/>
    <w:rsid w:val="00820593"/>
    <w:rsid w:val="00823CB4"/>
    <w:rsid w:val="0082548C"/>
    <w:rsid w:val="00830DE7"/>
    <w:rsid w:val="00831C20"/>
    <w:rsid w:val="00832082"/>
    <w:rsid w:val="00832CF0"/>
    <w:rsid w:val="008377BF"/>
    <w:rsid w:val="00837DE6"/>
    <w:rsid w:val="00840C0D"/>
    <w:rsid w:val="00841B06"/>
    <w:rsid w:val="008442CA"/>
    <w:rsid w:val="00847731"/>
    <w:rsid w:val="00854190"/>
    <w:rsid w:val="00854D82"/>
    <w:rsid w:val="008565E7"/>
    <w:rsid w:val="00860883"/>
    <w:rsid w:val="0086156E"/>
    <w:rsid w:val="00873837"/>
    <w:rsid w:val="0087426F"/>
    <w:rsid w:val="00874A04"/>
    <w:rsid w:val="00875587"/>
    <w:rsid w:val="00875769"/>
    <w:rsid w:val="00875930"/>
    <w:rsid w:val="00876000"/>
    <w:rsid w:val="008767C4"/>
    <w:rsid w:val="008811D1"/>
    <w:rsid w:val="00882838"/>
    <w:rsid w:val="00883154"/>
    <w:rsid w:val="00883ACE"/>
    <w:rsid w:val="00885E75"/>
    <w:rsid w:val="008871F1"/>
    <w:rsid w:val="008877E2"/>
    <w:rsid w:val="00887D1F"/>
    <w:rsid w:val="0089012A"/>
    <w:rsid w:val="00890F5B"/>
    <w:rsid w:val="008910A2"/>
    <w:rsid w:val="00894926"/>
    <w:rsid w:val="00895A13"/>
    <w:rsid w:val="00895FBA"/>
    <w:rsid w:val="008A2440"/>
    <w:rsid w:val="008A3A0A"/>
    <w:rsid w:val="008A463C"/>
    <w:rsid w:val="008A5ABE"/>
    <w:rsid w:val="008A66BA"/>
    <w:rsid w:val="008B11EB"/>
    <w:rsid w:val="008B2573"/>
    <w:rsid w:val="008B3385"/>
    <w:rsid w:val="008B3D61"/>
    <w:rsid w:val="008B41EE"/>
    <w:rsid w:val="008B6687"/>
    <w:rsid w:val="008C0B03"/>
    <w:rsid w:val="008C0CD0"/>
    <w:rsid w:val="008C1E70"/>
    <w:rsid w:val="008C36AA"/>
    <w:rsid w:val="008C3A04"/>
    <w:rsid w:val="008C4F35"/>
    <w:rsid w:val="008C6D66"/>
    <w:rsid w:val="008D0490"/>
    <w:rsid w:val="008D13CD"/>
    <w:rsid w:val="008D16A6"/>
    <w:rsid w:val="008D43E6"/>
    <w:rsid w:val="008E0773"/>
    <w:rsid w:val="008E1427"/>
    <w:rsid w:val="008E2FE9"/>
    <w:rsid w:val="008E33C7"/>
    <w:rsid w:val="008E3A7E"/>
    <w:rsid w:val="008E5BE8"/>
    <w:rsid w:val="008E6D5B"/>
    <w:rsid w:val="008F093F"/>
    <w:rsid w:val="008F1F40"/>
    <w:rsid w:val="008F24D4"/>
    <w:rsid w:val="00904353"/>
    <w:rsid w:val="00906C6C"/>
    <w:rsid w:val="009070C2"/>
    <w:rsid w:val="0091164F"/>
    <w:rsid w:val="00912AE1"/>
    <w:rsid w:val="009148BD"/>
    <w:rsid w:val="009169B1"/>
    <w:rsid w:val="0092045C"/>
    <w:rsid w:val="00921274"/>
    <w:rsid w:val="00926D00"/>
    <w:rsid w:val="009316BA"/>
    <w:rsid w:val="00931E38"/>
    <w:rsid w:val="0093264E"/>
    <w:rsid w:val="009343AE"/>
    <w:rsid w:val="00941041"/>
    <w:rsid w:val="00941980"/>
    <w:rsid w:val="0094596C"/>
    <w:rsid w:val="009504A7"/>
    <w:rsid w:val="00954269"/>
    <w:rsid w:val="0095440E"/>
    <w:rsid w:val="0095711B"/>
    <w:rsid w:val="00957825"/>
    <w:rsid w:val="00961705"/>
    <w:rsid w:val="0096325B"/>
    <w:rsid w:val="00964E19"/>
    <w:rsid w:val="00967E1B"/>
    <w:rsid w:val="00970486"/>
    <w:rsid w:val="0097109A"/>
    <w:rsid w:val="00975866"/>
    <w:rsid w:val="00981597"/>
    <w:rsid w:val="009836A2"/>
    <w:rsid w:val="00984466"/>
    <w:rsid w:val="0098691E"/>
    <w:rsid w:val="00986D0E"/>
    <w:rsid w:val="009957AF"/>
    <w:rsid w:val="009A1B36"/>
    <w:rsid w:val="009A1D00"/>
    <w:rsid w:val="009A3398"/>
    <w:rsid w:val="009A3674"/>
    <w:rsid w:val="009A4E43"/>
    <w:rsid w:val="009A53E5"/>
    <w:rsid w:val="009A5DB5"/>
    <w:rsid w:val="009A6779"/>
    <w:rsid w:val="009B61BB"/>
    <w:rsid w:val="009B77D1"/>
    <w:rsid w:val="009C03EB"/>
    <w:rsid w:val="009C5318"/>
    <w:rsid w:val="009C7C87"/>
    <w:rsid w:val="009D1863"/>
    <w:rsid w:val="009D35A3"/>
    <w:rsid w:val="009D411C"/>
    <w:rsid w:val="009D506B"/>
    <w:rsid w:val="009D75DE"/>
    <w:rsid w:val="009D7759"/>
    <w:rsid w:val="009E00AE"/>
    <w:rsid w:val="009E08FE"/>
    <w:rsid w:val="009E12A7"/>
    <w:rsid w:val="009E1B96"/>
    <w:rsid w:val="009E6EE5"/>
    <w:rsid w:val="009F2566"/>
    <w:rsid w:val="009F3EA3"/>
    <w:rsid w:val="009F4546"/>
    <w:rsid w:val="009F649A"/>
    <w:rsid w:val="00A00527"/>
    <w:rsid w:val="00A0181A"/>
    <w:rsid w:val="00A03289"/>
    <w:rsid w:val="00A03448"/>
    <w:rsid w:val="00A03E50"/>
    <w:rsid w:val="00A0436A"/>
    <w:rsid w:val="00A051C6"/>
    <w:rsid w:val="00A1149B"/>
    <w:rsid w:val="00A11897"/>
    <w:rsid w:val="00A15BD8"/>
    <w:rsid w:val="00A15EED"/>
    <w:rsid w:val="00A16361"/>
    <w:rsid w:val="00A173E2"/>
    <w:rsid w:val="00A17569"/>
    <w:rsid w:val="00A17C08"/>
    <w:rsid w:val="00A21233"/>
    <w:rsid w:val="00A2250E"/>
    <w:rsid w:val="00A23D93"/>
    <w:rsid w:val="00A26403"/>
    <w:rsid w:val="00A27B8D"/>
    <w:rsid w:val="00A3079F"/>
    <w:rsid w:val="00A31A69"/>
    <w:rsid w:val="00A32F14"/>
    <w:rsid w:val="00A333C1"/>
    <w:rsid w:val="00A36A93"/>
    <w:rsid w:val="00A37688"/>
    <w:rsid w:val="00A40947"/>
    <w:rsid w:val="00A4405C"/>
    <w:rsid w:val="00A464FF"/>
    <w:rsid w:val="00A46C36"/>
    <w:rsid w:val="00A46CFF"/>
    <w:rsid w:val="00A523A1"/>
    <w:rsid w:val="00A53339"/>
    <w:rsid w:val="00A609A1"/>
    <w:rsid w:val="00A61E4F"/>
    <w:rsid w:val="00A64C54"/>
    <w:rsid w:val="00A65754"/>
    <w:rsid w:val="00A6624C"/>
    <w:rsid w:val="00A70804"/>
    <w:rsid w:val="00A71810"/>
    <w:rsid w:val="00A71B72"/>
    <w:rsid w:val="00A73468"/>
    <w:rsid w:val="00A74D6E"/>
    <w:rsid w:val="00A7656B"/>
    <w:rsid w:val="00A7794E"/>
    <w:rsid w:val="00A779B1"/>
    <w:rsid w:val="00A80A09"/>
    <w:rsid w:val="00A8293F"/>
    <w:rsid w:val="00A82DF1"/>
    <w:rsid w:val="00A85C1C"/>
    <w:rsid w:val="00A86BAF"/>
    <w:rsid w:val="00A8768D"/>
    <w:rsid w:val="00A95D25"/>
    <w:rsid w:val="00AA0F78"/>
    <w:rsid w:val="00AB142C"/>
    <w:rsid w:val="00AB1650"/>
    <w:rsid w:val="00AB2A44"/>
    <w:rsid w:val="00AB2B46"/>
    <w:rsid w:val="00AC09D3"/>
    <w:rsid w:val="00AC18B7"/>
    <w:rsid w:val="00AC517C"/>
    <w:rsid w:val="00AC6ED4"/>
    <w:rsid w:val="00AC7B8F"/>
    <w:rsid w:val="00AD2288"/>
    <w:rsid w:val="00AD232E"/>
    <w:rsid w:val="00AD476A"/>
    <w:rsid w:val="00AD4A96"/>
    <w:rsid w:val="00AD4FDC"/>
    <w:rsid w:val="00AD5A16"/>
    <w:rsid w:val="00AD696B"/>
    <w:rsid w:val="00AE0A3B"/>
    <w:rsid w:val="00AF440D"/>
    <w:rsid w:val="00AF454F"/>
    <w:rsid w:val="00AF45BE"/>
    <w:rsid w:val="00AF5025"/>
    <w:rsid w:val="00AF544D"/>
    <w:rsid w:val="00AF6672"/>
    <w:rsid w:val="00AF701E"/>
    <w:rsid w:val="00AF7A64"/>
    <w:rsid w:val="00AF7E4A"/>
    <w:rsid w:val="00B001C5"/>
    <w:rsid w:val="00B00742"/>
    <w:rsid w:val="00B039F9"/>
    <w:rsid w:val="00B04C5C"/>
    <w:rsid w:val="00B0754C"/>
    <w:rsid w:val="00B12C8A"/>
    <w:rsid w:val="00B13A77"/>
    <w:rsid w:val="00B169CE"/>
    <w:rsid w:val="00B16A9A"/>
    <w:rsid w:val="00B20775"/>
    <w:rsid w:val="00B25450"/>
    <w:rsid w:val="00B2576D"/>
    <w:rsid w:val="00B259EC"/>
    <w:rsid w:val="00B2668D"/>
    <w:rsid w:val="00B30435"/>
    <w:rsid w:val="00B35666"/>
    <w:rsid w:val="00B3617D"/>
    <w:rsid w:val="00B42EE8"/>
    <w:rsid w:val="00B4667D"/>
    <w:rsid w:val="00B52F4D"/>
    <w:rsid w:val="00B54724"/>
    <w:rsid w:val="00B56060"/>
    <w:rsid w:val="00B573EF"/>
    <w:rsid w:val="00B64A49"/>
    <w:rsid w:val="00B66060"/>
    <w:rsid w:val="00B66408"/>
    <w:rsid w:val="00B66568"/>
    <w:rsid w:val="00B67D68"/>
    <w:rsid w:val="00B80470"/>
    <w:rsid w:val="00B85DB0"/>
    <w:rsid w:val="00B862F9"/>
    <w:rsid w:val="00B93F0B"/>
    <w:rsid w:val="00B96C7C"/>
    <w:rsid w:val="00B970AF"/>
    <w:rsid w:val="00B9737C"/>
    <w:rsid w:val="00BA0348"/>
    <w:rsid w:val="00BA04AF"/>
    <w:rsid w:val="00BA1C52"/>
    <w:rsid w:val="00BA1D04"/>
    <w:rsid w:val="00BA342B"/>
    <w:rsid w:val="00BA436F"/>
    <w:rsid w:val="00BA7FF8"/>
    <w:rsid w:val="00BB44C1"/>
    <w:rsid w:val="00BB499A"/>
    <w:rsid w:val="00BC0715"/>
    <w:rsid w:val="00BC080E"/>
    <w:rsid w:val="00BC13B1"/>
    <w:rsid w:val="00BC24FC"/>
    <w:rsid w:val="00BC6F3A"/>
    <w:rsid w:val="00BD0265"/>
    <w:rsid w:val="00BD07CD"/>
    <w:rsid w:val="00BD0CCE"/>
    <w:rsid w:val="00BD1415"/>
    <w:rsid w:val="00BD2659"/>
    <w:rsid w:val="00BD4508"/>
    <w:rsid w:val="00BD5817"/>
    <w:rsid w:val="00BD5B5E"/>
    <w:rsid w:val="00BD5CAD"/>
    <w:rsid w:val="00BD6C38"/>
    <w:rsid w:val="00BD7508"/>
    <w:rsid w:val="00BE0BE8"/>
    <w:rsid w:val="00BE2687"/>
    <w:rsid w:val="00BE2A0A"/>
    <w:rsid w:val="00BE2E2C"/>
    <w:rsid w:val="00BE47D0"/>
    <w:rsid w:val="00BE4D22"/>
    <w:rsid w:val="00BE55C7"/>
    <w:rsid w:val="00BE6C8E"/>
    <w:rsid w:val="00BE7785"/>
    <w:rsid w:val="00BF4689"/>
    <w:rsid w:val="00C00FE0"/>
    <w:rsid w:val="00C06B32"/>
    <w:rsid w:val="00C06C08"/>
    <w:rsid w:val="00C07D52"/>
    <w:rsid w:val="00C1090C"/>
    <w:rsid w:val="00C10F23"/>
    <w:rsid w:val="00C13AF5"/>
    <w:rsid w:val="00C146AC"/>
    <w:rsid w:val="00C1765A"/>
    <w:rsid w:val="00C2746C"/>
    <w:rsid w:val="00C27B7C"/>
    <w:rsid w:val="00C300F3"/>
    <w:rsid w:val="00C37B2F"/>
    <w:rsid w:val="00C405CC"/>
    <w:rsid w:val="00C43BC6"/>
    <w:rsid w:val="00C44309"/>
    <w:rsid w:val="00C4462F"/>
    <w:rsid w:val="00C44E43"/>
    <w:rsid w:val="00C47401"/>
    <w:rsid w:val="00C5083C"/>
    <w:rsid w:val="00C55886"/>
    <w:rsid w:val="00C56BE4"/>
    <w:rsid w:val="00C64CB4"/>
    <w:rsid w:val="00C67597"/>
    <w:rsid w:val="00C67E55"/>
    <w:rsid w:val="00C70AC3"/>
    <w:rsid w:val="00C70CAF"/>
    <w:rsid w:val="00C7274E"/>
    <w:rsid w:val="00C74735"/>
    <w:rsid w:val="00C7595B"/>
    <w:rsid w:val="00C76F2E"/>
    <w:rsid w:val="00C7739A"/>
    <w:rsid w:val="00C77B6C"/>
    <w:rsid w:val="00C8234B"/>
    <w:rsid w:val="00C86910"/>
    <w:rsid w:val="00C90086"/>
    <w:rsid w:val="00C91859"/>
    <w:rsid w:val="00C93476"/>
    <w:rsid w:val="00C93B66"/>
    <w:rsid w:val="00C960A0"/>
    <w:rsid w:val="00CA084C"/>
    <w:rsid w:val="00CA08E7"/>
    <w:rsid w:val="00CA2257"/>
    <w:rsid w:val="00CA25DE"/>
    <w:rsid w:val="00CA65E8"/>
    <w:rsid w:val="00CB159A"/>
    <w:rsid w:val="00CB2FA3"/>
    <w:rsid w:val="00CB3004"/>
    <w:rsid w:val="00CB4407"/>
    <w:rsid w:val="00CB4FB7"/>
    <w:rsid w:val="00CB7488"/>
    <w:rsid w:val="00CB7800"/>
    <w:rsid w:val="00CC17A6"/>
    <w:rsid w:val="00CC2B7A"/>
    <w:rsid w:val="00CC3633"/>
    <w:rsid w:val="00CC476D"/>
    <w:rsid w:val="00CC74BD"/>
    <w:rsid w:val="00CC77FE"/>
    <w:rsid w:val="00CC7978"/>
    <w:rsid w:val="00CD0038"/>
    <w:rsid w:val="00CD24FB"/>
    <w:rsid w:val="00CD2D64"/>
    <w:rsid w:val="00CD533A"/>
    <w:rsid w:val="00CD67E4"/>
    <w:rsid w:val="00CD759C"/>
    <w:rsid w:val="00CE4D84"/>
    <w:rsid w:val="00CF30B0"/>
    <w:rsid w:val="00CF4612"/>
    <w:rsid w:val="00CF4F49"/>
    <w:rsid w:val="00CF62E3"/>
    <w:rsid w:val="00CF6495"/>
    <w:rsid w:val="00D01F25"/>
    <w:rsid w:val="00D04D0B"/>
    <w:rsid w:val="00D11993"/>
    <w:rsid w:val="00D12F8D"/>
    <w:rsid w:val="00D13010"/>
    <w:rsid w:val="00D178BA"/>
    <w:rsid w:val="00D20AA0"/>
    <w:rsid w:val="00D20D71"/>
    <w:rsid w:val="00D231F2"/>
    <w:rsid w:val="00D25FF3"/>
    <w:rsid w:val="00D272A2"/>
    <w:rsid w:val="00D32B52"/>
    <w:rsid w:val="00D32E47"/>
    <w:rsid w:val="00D32FC0"/>
    <w:rsid w:val="00D33EE2"/>
    <w:rsid w:val="00D3477E"/>
    <w:rsid w:val="00D40AB0"/>
    <w:rsid w:val="00D40AD2"/>
    <w:rsid w:val="00D412AC"/>
    <w:rsid w:val="00D4588C"/>
    <w:rsid w:val="00D5413D"/>
    <w:rsid w:val="00D55548"/>
    <w:rsid w:val="00D574FF"/>
    <w:rsid w:val="00D57E86"/>
    <w:rsid w:val="00D61B19"/>
    <w:rsid w:val="00D63C90"/>
    <w:rsid w:val="00D64C4E"/>
    <w:rsid w:val="00D735BA"/>
    <w:rsid w:val="00D74139"/>
    <w:rsid w:val="00D75282"/>
    <w:rsid w:val="00D83078"/>
    <w:rsid w:val="00D8407E"/>
    <w:rsid w:val="00D8462C"/>
    <w:rsid w:val="00D846AB"/>
    <w:rsid w:val="00D85102"/>
    <w:rsid w:val="00D90FEC"/>
    <w:rsid w:val="00D94CEC"/>
    <w:rsid w:val="00D96A1A"/>
    <w:rsid w:val="00D97302"/>
    <w:rsid w:val="00D97A6A"/>
    <w:rsid w:val="00DA1AF9"/>
    <w:rsid w:val="00DA1B34"/>
    <w:rsid w:val="00DA2451"/>
    <w:rsid w:val="00DA38EB"/>
    <w:rsid w:val="00DA3CE0"/>
    <w:rsid w:val="00DA49E5"/>
    <w:rsid w:val="00DB766C"/>
    <w:rsid w:val="00DC02C3"/>
    <w:rsid w:val="00DC1D1B"/>
    <w:rsid w:val="00DC60CE"/>
    <w:rsid w:val="00DD3FD7"/>
    <w:rsid w:val="00DD503E"/>
    <w:rsid w:val="00DE0468"/>
    <w:rsid w:val="00DE1503"/>
    <w:rsid w:val="00DE39BA"/>
    <w:rsid w:val="00DE42CE"/>
    <w:rsid w:val="00DF1932"/>
    <w:rsid w:val="00DF1993"/>
    <w:rsid w:val="00DF3A64"/>
    <w:rsid w:val="00E007A3"/>
    <w:rsid w:val="00E01C89"/>
    <w:rsid w:val="00E04A48"/>
    <w:rsid w:val="00E04BBC"/>
    <w:rsid w:val="00E05D17"/>
    <w:rsid w:val="00E0620C"/>
    <w:rsid w:val="00E11D75"/>
    <w:rsid w:val="00E13660"/>
    <w:rsid w:val="00E138E2"/>
    <w:rsid w:val="00E14C9C"/>
    <w:rsid w:val="00E21005"/>
    <w:rsid w:val="00E22A8E"/>
    <w:rsid w:val="00E2585F"/>
    <w:rsid w:val="00E312DF"/>
    <w:rsid w:val="00E35144"/>
    <w:rsid w:val="00E35613"/>
    <w:rsid w:val="00E37C2A"/>
    <w:rsid w:val="00E42EC4"/>
    <w:rsid w:val="00E4453E"/>
    <w:rsid w:val="00E474E4"/>
    <w:rsid w:val="00E50618"/>
    <w:rsid w:val="00E50F47"/>
    <w:rsid w:val="00E510BC"/>
    <w:rsid w:val="00E544E0"/>
    <w:rsid w:val="00E62EEA"/>
    <w:rsid w:val="00E63427"/>
    <w:rsid w:val="00E64EE0"/>
    <w:rsid w:val="00E65310"/>
    <w:rsid w:val="00E66366"/>
    <w:rsid w:val="00E66B04"/>
    <w:rsid w:val="00E7410C"/>
    <w:rsid w:val="00E74C06"/>
    <w:rsid w:val="00E77673"/>
    <w:rsid w:val="00E802CD"/>
    <w:rsid w:val="00E80B68"/>
    <w:rsid w:val="00E8162F"/>
    <w:rsid w:val="00E83F03"/>
    <w:rsid w:val="00E912A9"/>
    <w:rsid w:val="00E92C14"/>
    <w:rsid w:val="00E95C34"/>
    <w:rsid w:val="00E965BB"/>
    <w:rsid w:val="00E96655"/>
    <w:rsid w:val="00E967B8"/>
    <w:rsid w:val="00E96AAE"/>
    <w:rsid w:val="00EA080C"/>
    <w:rsid w:val="00EA36DC"/>
    <w:rsid w:val="00EA4E53"/>
    <w:rsid w:val="00EB1420"/>
    <w:rsid w:val="00EB2045"/>
    <w:rsid w:val="00EB2CCA"/>
    <w:rsid w:val="00EB592F"/>
    <w:rsid w:val="00EB74DE"/>
    <w:rsid w:val="00EC0248"/>
    <w:rsid w:val="00EC37EF"/>
    <w:rsid w:val="00EC3CB0"/>
    <w:rsid w:val="00EC3FED"/>
    <w:rsid w:val="00EC6651"/>
    <w:rsid w:val="00EC6985"/>
    <w:rsid w:val="00EC69C0"/>
    <w:rsid w:val="00EC7A14"/>
    <w:rsid w:val="00EC7A70"/>
    <w:rsid w:val="00EC7D4A"/>
    <w:rsid w:val="00ED1883"/>
    <w:rsid w:val="00ED2D4E"/>
    <w:rsid w:val="00ED3010"/>
    <w:rsid w:val="00ED521D"/>
    <w:rsid w:val="00ED532C"/>
    <w:rsid w:val="00ED63D6"/>
    <w:rsid w:val="00ED6F6F"/>
    <w:rsid w:val="00EE00B1"/>
    <w:rsid w:val="00EE04F8"/>
    <w:rsid w:val="00EE21BA"/>
    <w:rsid w:val="00EE29A7"/>
    <w:rsid w:val="00EE4D97"/>
    <w:rsid w:val="00EF0C42"/>
    <w:rsid w:val="00EF466D"/>
    <w:rsid w:val="00EF5B84"/>
    <w:rsid w:val="00EF670C"/>
    <w:rsid w:val="00F00E07"/>
    <w:rsid w:val="00F035A1"/>
    <w:rsid w:val="00F072A0"/>
    <w:rsid w:val="00F07E9A"/>
    <w:rsid w:val="00F14324"/>
    <w:rsid w:val="00F14B24"/>
    <w:rsid w:val="00F156E6"/>
    <w:rsid w:val="00F201C7"/>
    <w:rsid w:val="00F20DFA"/>
    <w:rsid w:val="00F20EAB"/>
    <w:rsid w:val="00F23029"/>
    <w:rsid w:val="00F24CE5"/>
    <w:rsid w:val="00F25F80"/>
    <w:rsid w:val="00F26F14"/>
    <w:rsid w:val="00F3122D"/>
    <w:rsid w:val="00F3231C"/>
    <w:rsid w:val="00F35AF8"/>
    <w:rsid w:val="00F37329"/>
    <w:rsid w:val="00F37AB5"/>
    <w:rsid w:val="00F42D71"/>
    <w:rsid w:val="00F45345"/>
    <w:rsid w:val="00F461CD"/>
    <w:rsid w:val="00F464A0"/>
    <w:rsid w:val="00F47734"/>
    <w:rsid w:val="00F52BEB"/>
    <w:rsid w:val="00F53D6A"/>
    <w:rsid w:val="00F54AB7"/>
    <w:rsid w:val="00F54D83"/>
    <w:rsid w:val="00F54ED4"/>
    <w:rsid w:val="00F55C9D"/>
    <w:rsid w:val="00F568DA"/>
    <w:rsid w:val="00F56AB5"/>
    <w:rsid w:val="00F634CC"/>
    <w:rsid w:val="00F64481"/>
    <w:rsid w:val="00F65274"/>
    <w:rsid w:val="00F663FD"/>
    <w:rsid w:val="00F667D4"/>
    <w:rsid w:val="00F67F1C"/>
    <w:rsid w:val="00F70478"/>
    <w:rsid w:val="00F705F2"/>
    <w:rsid w:val="00F70669"/>
    <w:rsid w:val="00F767A8"/>
    <w:rsid w:val="00F77C58"/>
    <w:rsid w:val="00F77FBB"/>
    <w:rsid w:val="00F80564"/>
    <w:rsid w:val="00F806F0"/>
    <w:rsid w:val="00F8142E"/>
    <w:rsid w:val="00F83556"/>
    <w:rsid w:val="00F8386A"/>
    <w:rsid w:val="00F84BA1"/>
    <w:rsid w:val="00F85C49"/>
    <w:rsid w:val="00F923A1"/>
    <w:rsid w:val="00F9288C"/>
    <w:rsid w:val="00F93D1B"/>
    <w:rsid w:val="00F96149"/>
    <w:rsid w:val="00F965A4"/>
    <w:rsid w:val="00F972BD"/>
    <w:rsid w:val="00F97F09"/>
    <w:rsid w:val="00FA24F6"/>
    <w:rsid w:val="00FA46FD"/>
    <w:rsid w:val="00FA52B1"/>
    <w:rsid w:val="00FA5ECC"/>
    <w:rsid w:val="00FA6187"/>
    <w:rsid w:val="00FA74D6"/>
    <w:rsid w:val="00FB0F7F"/>
    <w:rsid w:val="00FB1009"/>
    <w:rsid w:val="00FB46CB"/>
    <w:rsid w:val="00FB63A1"/>
    <w:rsid w:val="00FB7E6D"/>
    <w:rsid w:val="00FC1860"/>
    <w:rsid w:val="00FC6D0F"/>
    <w:rsid w:val="00FD00F2"/>
    <w:rsid w:val="00FD10A4"/>
    <w:rsid w:val="00FD6930"/>
    <w:rsid w:val="00FD7425"/>
    <w:rsid w:val="00FD7A3D"/>
    <w:rsid w:val="00FD7F91"/>
    <w:rsid w:val="00FE4783"/>
    <w:rsid w:val="00FE4B03"/>
    <w:rsid w:val="00FE52E0"/>
    <w:rsid w:val="00FE73A0"/>
    <w:rsid w:val="00FE7890"/>
    <w:rsid w:val="00FF0745"/>
    <w:rsid w:val="00FF0D60"/>
    <w:rsid w:val="00FF23F1"/>
    <w:rsid w:val="00FF53CB"/>
    <w:rsid w:val="00FF5ACE"/>
    <w:rsid w:val="00FF681C"/>
    <w:rsid w:val="01094B94"/>
    <w:rsid w:val="030E3548"/>
    <w:rsid w:val="031B4121"/>
    <w:rsid w:val="035B28DA"/>
    <w:rsid w:val="051A083F"/>
    <w:rsid w:val="07815FB9"/>
    <w:rsid w:val="09151462"/>
    <w:rsid w:val="093F4B41"/>
    <w:rsid w:val="09401167"/>
    <w:rsid w:val="0B8841EF"/>
    <w:rsid w:val="0C1817B1"/>
    <w:rsid w:val="0D154336"/>
    <w:rsid w:val="0D4E6EF8"/>
    <w:rsid w:val="0E137B3C"/>
    <w:rsid w:val="0FB37AA5"/>
    <w:rsid w:val="0FE0514A"/>
    <w:rsid w:val="10DB4CA3"/>
    <w:rsid w:val="18080631"/>
    <w:rsid w:val="18B55E75"/>
    <w:rsid w:val="1B43398A"/>
    <w:rsid w:val="1C8C33EA"/>
    <w:rsid w:val="1DCA6E3F"/>
    <w:rsid w:val="1E83610E"/>
    <w:rsid w:val="1F995ED6"/>
    <w:rsid w:val="203F2782"/>
    <w:rsid w:val="21FB1A1E"/>
    <w:rsid w:val="23AC1C64"/>
    <w:rsid w:val="23B36AEA"/>
    <w:rsid w:val="23E06A63"/>
    <w:rsid w:val="25F206E2"/>
    <w:rsid w:val="27845BB1"/>
    <w:rsid w:val="28A246BB"/>
    <w:rsid w:val="2B8165C2"/>
    <w:rsid w:val="2C4A3CF2"/>
    <w:rsid w:val="2EF821F5"/>
    <w:rsid w:val="31A002C2"/>
    <w:rsid w:val="335D1EB2"/>
    <w:rsid w:val="337D6A87"/>
    <w:rsid w:val="35050A1C"/>
    <w:rsid w:val="38BE416D"/>
    <w:rsid w:val="3A1523F5"/>
    <w:rsid w:val="3BCDE812"/>
    <w:rsid w:val="3BF61A42"/>
    <w:rsid w:val="3F933DF4"/>
    <w:rsid w:val="3FEB0D81"/>
    <w:rsid w:val="3FF7705D"/>
    <w:rsid w:val="41A02401"/>
    <w:rsid w:val="42B55A96"/>
    <w:rsid w:val="44B72CA8"/>
    <w:rsid w:val="45FF2FEC"/>
    <w:rsid w:val="469131A1"/>
    <w:rsid w:val="46E97251"/>
    <w:rsid w:val="4763379F"/>
    <w:rsid w:val="476D66D3"/>
    <w:rsid w:val="48293E61"/>
    <w:rsid w:val="482C0D5E"/>
    <w:rsid w:val="48BF752E"/>
    <w:rsid w:val="4A647620"/>
    <w:rsid w:val="4A9843F8"/>
    <w:rsid w:val="4ABC42CB"/>
    <w:rsid w:val="4B3C4EEF"/>
    <w:rsid w:val="4D6F751F"/>
    <w:rsid w:val="4EF01A29"/>
    <w:rsid w:val="51181D22"/>
    <w:rsid w:val="515F0627"/>
    <w:rsid w:val="52850D19"/>
    <w:rsid w:val="53232226"/>
    <w:rsid w:val="55357A23"/>
    <w:rsid w:val="58CE1F19"/>
    <w:rsid w:val="5966205B"/>
    <w:rsid w:val="5A72193E"/>
    <w:rsid w:val="5B723A3C"/>
    <w:rsid w:val="5DE127FE"/>
    <w:rsid w:val="5FEF5940"/>
    <w:rsid w:val="602C118D"/>
    <w:rsid w:val="602E34F6"/>
    <w:rsid w:val="609271DE"/>
    <w:rsid w:val="618B7EC2"/>
    <w:rsid w:val="61C956B9"/>
    <w:rsid w:val="62091433"/>
    <w:rsid w:val="657B4E2C"/>
    <w:rsid w:val="6585261B"/>
    <w:rsid w:val="67FEB4C0"/>
    <w:rsid w:val="6841357F"/>
    <w:rsid w:val="69D05D41"/>
    <w:rsid w:val="69D76738"/>
    <w:rsid w:val="6A7F0944"/>
    <w:rsid w:val="6B242105"/>
    <w:rsid w:val="6B8B653D"/>
    <w:rsid w:val="6BC83CED"/>
    <w:rsid w:val="6BD062F3"/>
    <w:rsid w:val="6EBD7FBB"/>
    <w:rsid w:val="6EF92232"/>
    <w:rsid w:val="6FBC07A7"/>
    <w:rsid w:val="70FB5B88"/>
    <w:rsid w:val="7302392B"/>
    <w:rsid w:val="733FFD00"/>
    <w:rsid w:val="74BF1CA5"/>
    <w:rsid w:val="758749EB"/>
    <w:rsid w:val="75D7705D"/>
    <w:rsid w:val="7614509E"/>
    <w:rsid w:val="772038F2"/>
    <w:rsid w:val="77EF309B"/>
    <w:rsid w:val="785F24A1"/>
    <w:rsid w:val="786E0657"/>
    <w:rsid w:val="79AC65D8"/>
    <w:rsid w:val="7AFFBD41"/>
    <w:rsid w:val="7B7FFD66"/>
    <w:rsid w:val="7BCF8376"/>
    <w:rsid w:val="7BF72EE9"/>
    <w:rsid w:val="7CAA5443"/>
    <w:rsid w:val="7D3C5B49"/>
    <w:rsid w:val="7DAF7547"/>
    <w:rsid w:val="7E331058"/>
    <w:rsid w:val="7E393341"/>
    <w:rsid w:val="7E861F52"/>
    <w:rsid w:val="7EB419A8"/>
    <w:rsid w:val="7F1B07E5"/>
    <w:rsid w:val="7F5266D4"/>
    <w:rsid w:val="7FB121D3"/>
    <w:rsid w:val="7FBE9707"/>
    <w:rsid w:val="7FEF2C28"/>
    <w:rsid w:val="ABBDF370"/>
    <w:rsid w:val="B7D7E232"/>
    <w:rsid w:val="B7F926D6"/>
    <w:rsid w:val="BB7E84BE"/>
    <w:rsid w:val="BEEFE5DF"/>
    <w:rsid w:val="CDEF27AC"/>
    <w:rsid w:val="CFDB16DF"/>
    <w:rsid w:val="CFDE2ADE"/>
    <w:rsid w:val="CFF9A703"/>
    <w:rsid w:val="D4BF083B"/>
    <w:rsid w:val="DABF53C7"/>
    <w:rsid w:val="DEBD848E"/>
    <w:rsid w:val="DFFC9493"/>
    <w:rsid w:val="E77FAF29"/>
    <w:rsid w:val="EBE31662"/>
    <w:rsid w:val="F3FFA792"/>
    <w:rsid w:val="FCBE1AED"/>
    <w:rsid w:val="FFBE9D27"/>
    <w:rsid w:val="FFBFEAA1"/>
    <w:rsid w:val="FFFC49C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9"/>
    <w:pPr>
      <w:keepNext/>
      <w:keepLines/>
      <w:spacing w:line="360" w:lineRule="auto"/>
      <w:jc w:val="left"/>
      <w:outlineLvl w:val="0"/>
    </w:pPr>
    <w:rPr>
      <w:rFonts w:ascii="Times New Roman" w:hAnsi="Times New Roman" w:eastAsia="黑体" w:cs="Times New Roman"/>
      <w:bCs/>
      <w:kern w:val="44"/>
      <w:szCs w:val="44"/>
    </w:rPr>
  </w:style>
  <w:style w:type="paragraph" w:styleId="3">
    <w:name w:val="heading 2"/>
    <w:basedOn w:val="1"/>
    <w:next w:val="1"/>
    <w:qFormat/>
    <w:uiPriority w:val="9"/>
    <w:pPr>
      <w:keepNext/>
      <w:keepLines/>
      <w:spacing w:line="360" w:lineRule="auto"/>
      <w:ind w:firstLine="442" w:firstLineChars="200"/>
      <w:outlineLvl w:val="1"/>
    </w:pPr>
    <w:rPr>
      <w:rFonts w:ascii="Cambria" w:hAnsi="Cambria" w:eastAsia="楷体"/>
      <w:b/>
      <w:bCs/>
      <w:sz w:val="22"/>
      <w:szCs w:val="32"/>
    </w:rPr>
  </w:style>
  <w:style w:type="paragraph" w:styleId="4">
    <w:name w:val="heading 4"/>
    <w:basedOn w:val="1"/>
    <w:next w:val="1"/>
    <w:unhideWhenUsed/>
    <w:qFormat/>
    <w:uiPriority w:val="9"/>
    <w:pPr>
      <w:spacing w:before="100" w:beforeAutospacing="1" w:after="100" w:afterAutospacing="1"/>
      <w:jc w:val="left"/>
      <w:outlineLvl w:val="3"/>
    </w:pPr>
    <w:rPr>
      <w:rFonts w:hint="eastAsia" w:ascii="宋体" w:hAnsi="宋体" w:eastAsia="宋体" w:cs="宋体"/>
      <w:b/>
      <w:bCs/>
      <w:kern w:val="0"/>
      <w:sz w:val="24"/>
      <w:szCs w:val="24"/>
      <w:lang w:val="en-US" w:eastAsia="zh-CN" w:bidi="ar"/>
    </w:rPr>
  </w:style>
  <w:style w:type="character" w:default="1" w:styleId="16">
    <w:name w:val="Default Paragraph Font"/>
    <w:unhideWhenUsed/>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cs="Times New Roman"/>
      <w:sz w:val="20"/>
      <w:szCs w:val="20"/>
    </w:rPr>
  </w:style>
  <w:style w:type="paragraph" w:styleId="6">
    <w:name w:val="annotation text"/>
    <w:basedOn w:val="1"/>
    <w:qFormat/>
    <w:uiPriority w:val="0"/>
    <w:pPr>
      <w:jc w:val="left"/>
    </w:pPr>
  </w:style>
  <w:style w:type="paragraph" w:styleId="7">
    <w:name w:val="Body Text"/>
    <w:basedOn w:val="1"/>
    <w:link w:val="20"/>
    <w:unhideWhenUsed/>
    <w:qFormat/>
    <w:uiPriority w:val="99"/>
    <w:pPr>
      <w:spacing w:before="100" w:beforeAutospacing="1" w:after="120"/>
    </w:pPr>
    <w:rPr>
      <w:szCs w:val="21"/>
    </w:rPr>
  </w:style>
  <w:style w:type="paragraph" w:styleId="8">
    <w:name w:val="Body Text Indent"/>
    <w:basedOn w:val="1"/>
    <w:qFormat/>
    <w:uiPriority w:val="0"/>
    <w:pPr>
      <w:tabs>
        <w:tab w:val="left" w:pos="2268"/>
      </w:tabs>
      <w:spacing w:line="560" w:lineRule="exact"/>
      <w:ind w:firstLine="600" w:firstLineChars="200"/>
    </w:pPr>
    <w:rPr>
      <w:rFonts w:ascii="仿宋_GB2312"/>
      <w:sz w:val="30"/>
      <w:szCs w:val="24"/>
    </w:rPr>
  </w:style>
  <w:style w:type="paragraph" w:styleId="9">
    <w:name w:val="Plain Text"/>
    <w:basedOn w:val="1"/>
    <w:link w:val="21"/>
    <w:unhideWhenUsed/>
    <w:qFormat/>
    <w:uiPriority w:val="99"/>
    <w:rPr>
      <w:rFonts w:ascii="宋体" w:hAnsi="Courier New"/>
      <w:kern w:val="0"/>
      <w:sz w:val="20"/>
      <w:szCs w:val="20"/>
    </w:rPr>
  </w:style>
  <w:style w:type="paragraph" w:styleId="10">
    <w:name w:val="Balloon Text"/>
    <w:basedOn w:val="1"/>
    <w:link w:val="22"/>
    <w:unhideWhenUsed/>
    <w:qFormat/>
    <w:uiPriority w:val="99"/>
    <w:rPr>
      <w:sz w:val="18"/>
      <w:szCs w:val="18"/>
    </w:rPr>
  </w:style>
  <w:style w:type="paragraph" w:styleId="11">
    <w:name w:val="footer"/>
    <w:basedOn w:val="1"/>
    <w:link w:val="23"/>
    <w:unhideWhenUsed/>
    <w:qFormat/>
    <w:uiPriority w:val="99"/>
    <w:pPr>
      <w:tabs>
        <w:tab w:val="center" w:pos="4153"/>
        <w:tab w:val="right" w:pos="8306"/>
      </w:tabs>
      <w:snapToGrid w:val="0"/>
      <w:jc w:val="left"/>
    </w:pPr>
    <w:rPr>
      <w:sz w:val="18"/>
      <w:szCs w:val="18"/>
    </w:rPr>
  </w:style>
  <w:style w:type="paragraph" w:styleId="12">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unhideWhenUsed/>
    <w:qFormat/>
    <w:uiPriority w:val="99"/>
    <w:rPr>
      <w:sz w:val="24"/>
    </w:rPr>
  </w:style>
  <w:style w:type="table" w:styleId="15">
    <w:name w:val="Table Grid"/>
    <w:basedOn w:val="1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7">
    <w:name w:val="Strong"/>
    <w:basedOn w:val="16"/>
    <w:qFormat/>
    <w:uiPriority w:val="22"/>
    <w:rPr>
      <w:b/>
    </w:rPr>
  </w:style>
  <w:style w:type="character" w:styleId="18">
    <w:name w:val="Hyperlink"/>
    <w:basedOn w:val="16"/>
    <w:unhideWhenUsed/>
    <w:qFormat/>
    <w:uiPriority w:val="99"/>
    <w:rPr>
      <w:color w:val="0000FF"/>
      <w:u w:val="single"/>
    </w:rPr>
  </w:style>
  <w:style w:type="character" w:styleId="19">
    <w:name w:val="annotation reference"/>
    <w:qFormat/>
    <w:uiPriority w:val="0"/>
    <w:rPr>
      <w:sz w:val="21"/>
      <w:szCs w:val="21"/>
    </w:rPr>
  </w:style>
  <w:style w:type="character" w:customStyle="1" w:styleId="20">
    <w:name w:val="正文文本 Char"/>
    <w:link w:val="7"/>
    <w:semiHidden/>
    <w:qFormat/>
    <w:uiPriority w:val="99"/>
    <w:rPr>
      <w:rFonts w:cs="宋体"/>
      <w:kern w:val="2"/>
      <w:sz w:val="21"/>
      <w:szCs w:val="21"/>
    </w:rPr>
  </w:style>
  <w:style w:type="character" w:customStyle="1" w:styleId="21">
    <w:name w:val="纯文本 Char"/>
    <w:link w:val="9"/>
    <w:semiHidden/>
    <w:qFormat/>
    <w:uiPriority w:val="99"/>
    <w:rPr>
      <w:rFonts w:ascii="宋体" w:hAnsi="Courier New" w:cs="宋体"/>
    </w:rPr>
  </w:style>
  <w:style w:type="character" w:customStyle="1" w:styleId="22">
    <w:name w:val="批注框文本 Char"/>
    <w:link w:val="10"/>
    <w:semiHidden/>
    <w:qFormat/>
    <w:uiPriority w:val="99"/>
    <w:rPr>
      <w:kern w:val="2"/>
      <w:sz w:val="18"/>
      <w:szCs w:val="18"/>
    </w:rPr>
  </w:style>
  <w:style w:type="character" w:customStyle="1" w:styleId="23">
    <w:name w:val="页脚 Char"/>
    <w:link w:val="11"/>
    <w:qFormat/>
    <w:uiPriority w:val="99"/>
    <w:rPr>
      <w:kern w:val="2"/>
      <w:sz w:val="18"/>
      <w:szCs w:val="18"/>
    </w:rPr>
  </w:style>
  <w:style w:type="character" w:customStyle="1" w:styleId="24">
    <w:name w:val="页眉 Char"/>
    <w:link w:val="12"/>
    <w:qFormat/>
    <w:uiPriority w:val="99"/>
    <w:rPr>
      <w:kern w:val="2"/>
      <w:sz w:val="18"/>
      <w:szCs w:val="18"/>
    </w:rPr>
  </w:style>
  <w:style w:type="paragraph" w:customStyle="1" w:styleId="25">
    <w:name w:val="No Spacing_ad81b47b-6779-4c76-b471-79375858c8cb"/>
    <w:basedOn w:val="1"/>
    <w:qFormat/>
    <w:uiPriority w:val="0"/>
    <w:pPr>
      <w:ind w:firstLine="200" w:firstLineChars="200"/>
    </w:pPr>
    <w:rPr>
      <w:rFonts w:ascii="Cambria" w:hAnsi="Cambria"/>
      <w:sz w:val="24"/>
    </w:rPr>
  </w:style>
  <w:style w:type="paragraph" w:customStyle="1" w:styleId="26">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7">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28">
    <w:name w:val="目次、标准名称标题"/>
    <w:basedOn w:val="1"/>
    <w:next w:val="29"/>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9">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30">
    <w:name w:val="章标题"/>
    <w:next w:val="29"/>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31">
    <w:name w:val="前言、引言标题"/>
    <w:next w:val="29"/>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32">
    <w:name w:val="终结线"/>
    <w:basedOn w:val="1"/>
    <w:qFormat/>
    <w:uiPriority w:val="0"/>
    <w:pPr>
      <w:framePr w:hSpace="181" w:vSpace="181" w:wrap="around" w:vAnchor="text" w:hAnchor="margin" w:xAlign="center" w:y="285"/>
    </w:pPr>
  </w:style>
  <w:style w:type="paragraph" w:customStyle="1" w:styleId="33">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34">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35">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5521</Words>
  <Characters>5726</Characters>
  <Lines>8</Lines>
  <Paragraphs>2</Paragraphs>
  <TotalTime>2</TotalTime>
  <ScaleCrop>false</ScaleCrop>
  <LinksUpToDate>false</LinksUpToDate>
  <CharactersWithSpaces>5793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2020-09-22T18:50:00Z</dcterms:created>
  <dc:creator>王璐</dc:creator>
  <cp:lastModifiedBy>LW</cp:lastModifiedBy>
  <cp:lastPrinted>2022-09-27T07:26:00Z</cp:lastPrinted>
  <dcterms:modified xsi:type="dcterms:W3CDTF">2024-08-02T07:10:19Z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15525AB595C44BF4AABDDF785FDAFF2D_13</vt:lpwstr>
  </property>
</Properties>
</file>